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2EA6" w14:textId="55197268" w:rsidR="11311D35" w:rsidRPr="00402FF6" w:rsidRDefault="6276A898" w:rsidP="1A2349C6">
      <w:pPr>
        <w:rPr>
          <w:b/>
          <w:bCs/>
          <w:color w:val="3F1C5A"/>
          <w:sz w:val="40"/>
          <w:szCs w:val="40"/>
        </w:rPr>
      </w:pPr>
      <w:r w:rsidRPr="00402FF6">
        <w:rPr>
          <w:b/>
          <w:bCs/>
          <w:color w:val="3F1C5A"/>
          <w:sz w:val="40"/>
          <w:szCs w:val="40"/>
        </w:rPr>
        <w:t>Social Determinants of Health and</w:t>
      </w:r>
      <w:r w:rsidR="65D57353" w:rsidRPr="00402FF6">
        <w:rPr>
          <w:b/>
          <w:bCs/>
          <w:color w:val="3F1C5A"/>
          <w:sz w:val="40"/>
          <w:szCs w:val="40"/>
        </w:rPr>
        <w:t xml:space="preserve"> </w:t>
      </w:r>
      <w:r w:rsidRPr="00402FF6">
        <w:rPr>
          <w:b/>
          <w:bCs/>
          <w:color w:val="3F1C5A"/>
          <w:sz w:val="40"/>
          <w:szCs w:val="40"/>
        </w:rPr>
        <w:t xml:space="preserve">Health Inequalities </w:t>
      </w:r>
      <w:r w:rsidR="1FE3F218" w:rsidRPr="00402FF6">
        <w:rPr>
          <w:b/>
          <w:bCs/>
          <w:color w:val="3F1C5A"/>
          <w:sz w:val="40"/>
          <w:szCs w:val="40"/>
        </w:rPr>
        <w:t>in</w:t>
      </w:r>
      <w:r w:rsidR="3C1AE6FE" w:rsidRPr="00402FF6">
        <w:rPr>
          <w:b/>
          <w:bCs/>
          <w:color w:val="3F1C5A"/>
          <w:sz w:val="40"/>
          <w:szCs w:val="40"/>
        </w:rPr>
        <w:t xml:space="preserve"> </w:t>
      </w:r>
      <w:r w:rsidR="00BF12DE" w:rsidRPr="00BF12DE">
        <w:rPr>
          <w:b/>
          <w:bCs/>
          <w:color w:val="3F1C5A"/>
          <w:sz w:val="40"/>
          <w:szCs w:val="40"/>
          <w:highlight w:val="yellow"/>
        </w:rPr>
        <w:t>YOUR AREA</w:t>
      </w:r>
    </w:p>
    <w:p w14:paraId="3491CAE3" w14:textId="00CEB180" w:rsidR="3C1AE6FE" w:rsidRPr="00B2724C" w:rsidRDefault="3C1AE6FE" w:rsidP="1A2349C6">
      <w:pPr>
        <w:rPr>
          <w:b/>
          <w:bCs/>
          <w:color w:val="3F1C5A"/>
          <w:sz w:val="24"/>
          <w:szCs w:val="24"/>
        </w:rPr>
      </w:pPr>
      <w:r w:rsidRPr="00B2724C">
        <w:rPr>
          <w:b/>
          <w:bCs/>
          <w:color w:val="3F1C5A"/>
          <w:sz w:val="24"/>
          <w:szCs w:val="24"/>
        </w:rPr>
        <w:t>Introduction</w:t>
      </w:r>
    </w:p>
    <w:p w14:paraId="5720308E" w14:textId="77777777" w:rsidR="00165FA3" w:rsidRDefault="123B8080" w:rsidP="1A2349C6">
      <w:r>
        <w:t>The social determinants of health</w:t>
      </w:r>
      <w:r w:rsidR="52F3BDA4">
        <w:t xml:space="preserve"> (SDH)</w:t>
      </w:r>
      <w:r>
        <w:t xml:space="preserve"> are</w:t>
      </w:r>
      <w:r w:rsidR="70E61038">
        <w:t xml:space="preserve"> non-medical</w:t>
      </w:r>
      <w:r>
        <w:t xml:space="preserve"> factors which influence health outcomes</w:t>
      </w:r>
      <w:r w:rsidR="77F4897C">
        <w:t xml:space="preserve">. </w:t>
      </w:r>
      <w:r w:rsidR="4D115962">
        <w:t>Key SDH include income, education</w:t>
      </w:r>
      <w:r w:rsidR="5377EFC6">
        <w:t xml:space="preserve"> and</w:t>
      </w:r>
      <w:r w:rsidR="4D115962">
        <w:t xml:space="preserve"> employment</w:t>
      </w:r>
      <w:r w:rsidR="7D341014">
        <w:t>, but there are</w:t>
      </w:r>
      <w:r w:rsidR="00B2724C">
        <w:t xml:space="preserve"> many</w:t>
      </w:r>
      <w:r w:rsidR="7D341014">
        <w:t xml:space="preserve"> others in addition to this</w:t>
      </w:r>
      <w:r w:rsidR="00406AE6">
        <w:rPr>
          <w:rStyle w:val="FootnoteReference"/>
        </w:rPr>
        <w:footnoteReference w:id="2"/>
      </w:r>
      <w:r w:rsidR="503D8807">
        <w:t xml:space="preserve">. </w:t>
      </w:r>
      <w:r w:rsidR="4821EFEC">
        <w:t>There is a social gradient across the SDH, resulting in health inequalities wh</w:t>
      </w:r>
      <w:r w:rsidR="68527B8F">
        <w:t>ere people in a lower socio-economic position have worse health outcomes.</w:t>
      </w:r>
    </w:p>
    <w:p w14:paraId="75E18D79" w14:textId="2C626DEF" w:rsidR="123B8080" w:rsidRDefault="55FD664C" w:rsidP="1A2349C6">
      <w:r>
        <w:t>As was highlighted by the Covid-19 pandemic, t</w:t>
      </w:r>
      <w:r w:rsidR="546A58DE">
        <w:t>hose living in the most deprived parts of the country face the worst health inequalities</w:t>
      </w:r>
      <w:r w:rsidR="4C4EC0C3">
        <w:t xml:space="preserve"> with regards to access, experience and outcomes of healthcare. </w:t>
      </w:r>
      <w:r w:rsidR="560CADF9">
        <w:t xml:space="preserve">Female life expectancy at birth in England is </w:t>
      </w:r>
      <w:r w:rsidR="00B2724C">
        <w:t>7.9</w:t>
      </w:r>
      <w:r w:rsidR="560CADF9">
        <w:t xml:space="preserve"> years lower in the most deprived areas compared to the least deprived areas. For men, this gap is </w:t>
      </w:r>
      <w:r w:rsidR="00B2724C">
        <w:t>9.7</w:t>
      </w:r>
      <w:r w:rsidR="560CADF9">
        <w:t xml:space="preserve"> years</w:t>
      </w:r>
      <w:r w:rsidR="00792D8B">
        <w:rPr>
          <w:rStyle w:val="FootnoteReference"/>
        </w:rPr>
        <w:footnoteReference w:id="3"/>
      </w:r>
      <w:r w:rsidR="560CADF9">
        <w:t>.</w:t>
      </w:r>
      <w:r w:rsidR="00D32E79">
        <w:t xml:space="preserve"> </w:t>
      </w:r>
      <w:r w:rsidR="00165FA3" w:rsidRPr="00165FA3">
        <w:rPr>
          <w:rFonts w:cstheme="minorHAnsi"/>
          <w:color w:val="1B2733"/>
          <w:shd w:val="clear" w:color="auto" w:fill="FFFFFF"/>
        </w:rPr>
        <w:t>But when it comes to years lived in good health, the difference is even starker between richer and poorer areas</w:t>
      </w:r>
      <w:r w:rsidR="00165FA3">
        <w:t>: m</w:t>
      </w:r>
      <w:r w:rsidR="00D32E79">
        <w:t>ale healthy life expectancy in the most deprived areas is over 18 years lower than in the least deprived areas; for women this is almost 20 years</w:t>
      </w:r>
      <w:r w:rsidR="00D32E79">
        <w:rPr>
          <w:rStyle w:val="FootnoteReference"/>
        </w:rPr>
        <w:footnoteReference w:id="4"/>
      </w:r>
      <w:r w:rsidR="00D32E79">
        <w:t>.</w:t>
      </w:r>
    </w:p>
    <w:p w14:paraId="6551F5C0" w14:textId="1E78FC66" w:rsidR="37BFF89E" w:rsidRDefault="37BFF89E" w:rsidP="1A2349C6">
      <w:pPr>
        <w:rPr>
          <w:rFonts w:ascii="Calibri" w:eastAsia="Calibri" w:hAnsi="Calibri" w:cs="Calibri"/>
          <w:color w:val="121212"/>
        </w:rPr>
      </w:pPr>
      <w:r w:rsidRPr="1A2349C6">
        <w:rPr>
          <w:rFonts w:ascii="Calibri" w:eastAsia="Calibri" w:hAnsi="Calibri" w:cs="Calibri"/>
          <w:color w:val="121212"/>
        </w:rPr>
        <w:t>This briefing</w:t>
      </w:r>
      <w:r w:rsidR="4BD4403E" w:rsidRPr="1A2349C6">
        <w:rPr>
          <w:rFonts w:ascii="Calibri" w:eastAsia="Calibri" w:hAnsi="Calibri" w:cs="Calibri"/>
          <w:color w:val="121212"/>
        </w:rPr>
        <w:t xml:space="preserve"> will</w:t>
      </w:r>
      <w:r w:rsidRPr="1A2349C6">
        <w:rPr>
          <w:rFonts w:ascii="Calibri" w:eastAsia="Calibri" w:hAnsi="Calibri" w:cs="Calibri"/>
          <w:color w:val="121212"/>
        </w:rPr>
        <w:t xml:space="preserve"> analyse some of the key SDH and health inequalities in relation to </w:t>
      </w:r>
      <w:r w:rsidR="00BF12DE" w:rsidRPr="00BF12DE">
        <w:rPr>
          <w:rFonts w:ascii="Calibri" w:eastAsia="Calibri" w:hAnsi="Calibri" w:cs="Calibri"/>
          <w:color w:val="121212"/>
          <w:highlight w:val="yellow"/>
        </w:rPr>
        <w:t>YOUR AREA</w:t>
      </w:r>
      <w:r w:rsidR="6771C7CC" w:rsidRPr="1A2349C6">
        <w:rPr>
          <w:rFonts w:ascii="Calibri" w:eastAsia="Calibri" w:hAnsi="Calibri" w:cs="Calibri"/>
          <w:color w:val="121212"/>
        </w:rPr>
        <w:t xml:space="preserve"> and concludes with recommendations for future</w:t>
      </w:r>
      <w:r w:rsidR="6D1949EF" w:rsidRPr="1A2349C6">
        <w:rPr>
          <w:rFonts w:ascii="Calibri" w:eastAsia="Calibri" w:hAnsi="Calibri" w:cs="Calibri"/>
          <w:color w:val="121212"/>
        </w:rPr>
        <w:t xml:space="preserve"> research and</w:t>
      </w:r>
      <w:r w:rsidR="6771C7CC" w:rsidRPr="1A2349C6">
        <w:rPr>
          <w:rFonts w:ascii="Calibri" w:eastAsia="Calibri" w:hAnsi="Calibri" w:cs="Calibri"/>
          <w:color w:val="121212"/>
        </w:rPr>
        <w:t xml:space="preserve"> practice.</w:t>
      </w:r>
    </w:p>
    <w:p w14:paraId="5A7B4D07" w14:textId="2D3BA92A" w:rsidR="7700B333" w:rsidRPr="00B2724C" w:rsidRDefault="7700B333" w:rsidP="1A2349C6">
      <w:pPr>
        <w:rPr>
          <w:b/>
          <w:bCs/>
          <w:color w:val="3F1C5A"/>
          <w:sz w:val="24"/>
          <w:szCs w:val="24"/>
        </w:rPr>
      </w:pPr>
      <w:r w:rsidRPr="00B2724C">
        <w:rPr>
          <w:b/>
          <w:bCs/>
          <w:color w:val="3F1C5A"/>
          <w:sz w:val="24"/>
          <w:szCs w:val="24"/>
        </w:rPr>
        <w:t xml:space="preserve">Health and </w:t>
      </w:r>
      <w:r w:rsidR="0708C6D6" w:rsidRPr="00B2724C">
        <w:rPr>
          <w:b/>
          <w:bCs/>
          <w:color w:val="3F1C5A"/>
          <w:sz w:val="24"/>
          <w:szCs w:val="24"/>
        </w:rPr>
        <w:t>Deprivation</w:t>
      </w:r>
      <w:r w:rsidR="2DFB600C" w:rsidRPr="00B2724C">
        <w:rPr>
          <w:b/>
          <w:bCs/>
          <w:color w:val="3F1C5A"/>
          <w:sz w:val="24"/>
          <w:szCs w:val="24"/>
        </w:rPr>
        <w:t xml:space="preserve"> in </w:t>
      </w:r>
      <w:r w:rsidR="00BF12DE" w:rsidRPr="00BF12DE">
        <w:rPr>
          <w:b/>
          <w:bCs/>
          <w:color w:val="3F1C5A"/>
          <w:sz w:val="24"/>
          <w:szCs w:val="24"/>
          <w:highlight w:val="yellow"/>
        </w:rPr>
        <w:t>YOUR AREA</w:t>
      </w:r>
    </w:p>
    <w:p w14:paraId="00E6651F" w14:textId="6DB4D5F1" w:rsidR="320A65E7" w:rsidRPr="00BF12DE" w:rsidRDefault="320A65E7" w:rsidP="1A2349C6">
      <w:pPr>
        <w:spacing w:line="240" w:lineRule="auto"/>
        <w:rPr>
          <w:rFonts w:ascii="Calibri" w:eastAsia="Calibri" w:hAnsi="Calibri" w:cs="Calibri"/>
          <w:highlight w:val="yellow"/>
        </w:rPr>
      </w:pPr>
      <w:r w:rsidRPr="00BF12DE">
        <w:rPr>
          <w:rFonts w:ascii="Calibri" w:eastAsia="Calibri" w:hAnsi="Calibri" w:cs="Calibri"/>
          <w:color w:val="121212"/>
        </w:rPr>
        <w:t xml:space="preserve">The health of people in </w:t>
      </w:r>
      <w:r w:rsidR="00BF12DE" w:rsidRPr="00BF12DE">
        <w:rPr>
          <w:rFonts w:ascii="Calibri" w:eastAsia="Calibri" w:hAnsi="Calibri" w:cs="Calibri"/>
          <w:color w:val="121212"/>
          <w:highlight w:val="yellow"/>
        </w:rPr>
        <w:t>YOUR AREA</w:t>
      </w:r>
      <w:r w:rsidRPr="00BF12DE">
        <w:rPr>
          <w:rFonts w:ascii="Calibri" w:eastAsia="Calibri" w:hAnsi="Calibri" w:cs="Calibri"/>
          <w:color w:val="121212"/>
        </w:rPr>
        <w:t xml:space="preserve"> is </w:t>
      </w:r>
      <w:r w:rsidRPr="00BF12DE">
        <w:rPr>
          <w:rFonts w:ascii="Calibri" w:eastAsia="Calibri" w:hAnsi="Calibri" w:cs="Calibri"/>
          <w:color w:val="121212"/>
          <w:highlight w:val="yellow"/>
        </w:rPr>
        <w:t>worse than the average</w:t>
      </w:r>
      <w:r w:rsidRPr="00BF12DE">
        <w:rPr>
          <w:rFonts w:ascii="Calibri" w:eastAsia="Calibri" w:hAnsi="Calibri" w:cs="Calibri"/>
          <w:color w:val="121212"/>
        </w:rPr>
        <w:t xml:space="preserve"> for England.</w:t>
      </w:r>
      <w:r w:rsidRPr="00BF12DE">
        <w:rPr>
          <w:rFonts w:ascii="Calibri" w:eastAsia="Calibri" w:hAnsi="Calibri" w:cs="Calibri"/>
          <w:color w:val="000000" w:themeColor="text1"/>
        </w:rPr>
        <w:t xml:space="preserve"> </w:t>
      </w:r>
      <w:r w:rsidR="007476AB" w:rsidRPr="00BF12DE">
        <w:rPr>
          <w:rFonts w:ascii="Calibri" w:eastAsia="Calibri" w:hAnsi="Calibri" w:cs="Calibri"/>
          <w:color w:val="000000" w:themeColor="text1"/>
        </w:rPr>
        <w:t xml:space="preserve">Living an average of </w:t>
      </w:r>
      <w:r w:rsidR="007476AB" w:rsidRPr="00BF12DE">
        <w:rPr>
          <w:rFonts w:ascii="Calibri" w:eastAsia="Calibri" w:hAnsi="Calibri" w:cs="Calibri"/>
          <w:color w:val="000000" w:themeColor="text1"/>
          <w:highlight w:val="yellow"/>
        </w:rPr>
        <w:t>76.6</w:t>
      </w:r>
      <w:r w:rsidR="007476AB" w:rsidRPr="00BF12DE">
        <w:rPr>
          <w:rFonts w:ascii="Calibri" w:eastAsia="Calibri" w:hAnsi="Calibri" w:cs="Calibri"/>
          <w:color w:val="000000" w:themeColor="text1"/>
        </w:rPr>
        <w:t xml:space="preserve"> years, men in </w:t>
      </w:r>
      <w:r w:rsidR="00BF12DE" w:rsidRPr="00BF12DE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="007476AB" w:rsidRPr="00BF12DE">
        <w:rPr>
          <w:rFonts w:ascii="Calibri" w:eastAsia="Calibri" w:hAnsi="Calibri" w:cs="Calibri"/>
          <w:color w:val="000000" w:themeColor="text1"/>
        </w:rPr>
        <w:t xml:space="preserve"> have a life expectancy </w:t>
      </w:r>
      <w:r w:rsidR="007476AB" w:rsidRPr="00BF12DE">
        <w:rPr>
          <w:rFonts w:ascii="Calibri" w:eastAsia="Calibri" w:hAnsi="Calibri" w:cs="Calibri"/>
          <w:color w:val="000000" w:themeColor="text1"/>
          <w:highlight w:val="yellow"/>
        </w:rPr>
        <w:t>2.1 years</w:t>
      </w:r>
      <w:r w:rsidR="007476AB" w:rsidRPr="00BF12DE">
        <w:rPr>
          <w:rFonts w:ascii="Calibri" w:eastAsia="Calibri" w:hAnsi="Calibri" w:cs="Calibri"/>
          <w:color w:val="000000" w:themeColor="text1"/>
        </w:rPr>
        <w:t xml:space="preserve"> below the national average. Women’s</w:t>
      </w:r>
      <w:r w:rsidR="24C0D5C9" w:rsidRPr="00BF12DE">
        <w:rPr>
          <w:rFonts w:ascii="Calibri" w:eastAsia="Calibri" w:hAnsi="Calibri" w:cs="Calibri"/>
          <w:color w:val="000000" w:themeColor="text1"/>
        </w:rPr>
        <w:t xml:space="preserve"> </w:t>
      </w:r>
      <w:r w:rsidRPr="00BF12DE">
        <w:rPr>
          <w:rFonts w:ascii="Calibri" w:eastAsia="Calibri" w:hAnsi="Calibri" w:cs="Calibri"/>
          <w:color w:val="000000" w:themeColor="text1"/>
        </w:rPr>
        <w:t xml:space="preserve">life expectancy in </w:t>
      </w:r>
      <w:r w:rsidR="00BF12DE" w:rsidRPr="00BF12DE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Pr="00BF12DE">
        <w:rPr>
          <w:rFonts w:ascii="Calibri" w:eastAsia="Calibri" w:hAnsi="Calibri" w:cs="Calibri"/>
          <w:color w:val="000000" w:themeColor="text1"/>
        </w:rPr>
        <w:t xml:space="preserve"> is </w:t>
      </w:r>
      <w:r w:rsidR="007476AB" w:rsidRPr="00BF12DE">
        <w:rPr>
          <w:rFonts w:ascii="Calibri" w:eastAsia="Calibri" w:hAnsi="Calibri" w:cs="Calibri"/>
          <w:color w:val="000000" w:themeColor="text1"/>
        </w:rPr>
        <w:t xml:space="preserve">also </w:t>
      </w:r>
      <w:r w:rsidRPr="00BF12DE">
        <w:rPr>
          <w:rFonts w:ascii="Calibri" w:eastAsia="Calibri" w:hAnsi="Calibri" w:cs="Calibri"/>
          <w:color w:val="000000" w:themeColor="text1"/>
        </w:rPr>
        <w:t xml:space="preserve">lower than the national average at </w:t>
      </w:r>
      <w:r w:rsidR="007476AB" w:rsidRPr="00BF12DE">
        <w:rPr>
          <w:rFonts w:ascii="Calibri" w:eastAsia="Calibri" w:hAnsi="Calibri" w:cs="Calibri"/>
          <w:color w:val="000000" w:themeColor="text1"/>
          <w:highlight w:val="yellow"/>
        </w:rPr>
        <w:t>81.4</w:t>
      </w:r>
      <w:r w:rsidR="1552AA45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years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007476AB" w:rsidRPr="00BF12DE">
        <w:rPr>
          <w:rFonts w:ascii="Calibri" w:eastAsia="Calibri" w:hAnsi="Calibri" w:cs="Calibri"/>
          <w:color w:val="000000" w:themeColor="text1"/>
        </w:rPr>
        <w:t>vs.</w:t>
      </w:r>
      <w:r w:rsidRPr="00BF12DE">
        <w:rPr>
          <w:rFonts w:ascii="Calibri" w:eastAsia="Calibri" w:hAnsi="Calibri" w:cs="Calibri"/>
          <w:color w:val="000000" w:themeColor="text1"/>
        </w:rPr>
        <w:t xml:space="preserve"> </w:t>
      </w:r>
      <w:r w:rsidR="4AD3C5AE" w:rsidRPr="00BF12DE">
        <w:rPr>
          <w:rFonts w:ascii="Calibri" w:eastAsia="Calibri" w:hAnsi="Calibri" w:cs="Calibri"/>
          <w:color w:val="000000" w:themeColor="text1"/>
        </w:rPr>
        <w:t>8</w:t>
      </w:r>
      <w:r w:rsidR="007476AB" w:rsidRPr="00BF12DE">
        <w:rPr>
          <w:rFonts w:ascii="Calibri" w:eastAsia="Calibri" w:hAnsi="Calibri" w:cs="Calibri"/>
          <w:color w:val="000000" w:themeColor="text1"/>
        </w:rPr>
        <w:t>2.7</w:t>
      </w:r>
      <w:r w:rsidRPr="00BF12DE">
        <w:rPr>
          <w:rFonts w:ascii="Calibri" w:eastAsia="Calibri" w:hAnsi="Calibri" w:cs="Calibri"/>
          <w:color w:val="000000" w:themeColor="text1"/>
        </w:rPr>
        <w:t xml:space="preserve"> years</w:t>
      </w:r>
      <w:r w:rsidRPr="1A2349C6">
        <w:rPr>
          <w:rFonts w:ascii="Calibri" w:eastAsia="Calibri" w:hAnsi="Calibri" w:cs="Calibri"/>
          <w:color w:val="000000" w:themeColor="text1"/>
        </w:rPr>
        <w:t xml:space="preserve"> </w:t>
      </w:r>
      <w:r w:rsidRPr="00BF12DE">
        <w:rPr>
          <w:rFonts w:ascii="Calibri" w:eastAsia="Calibri" w:hAnsi="Calibri" w:cs="Calibri"/>
          <w:color w:val="000000" w:themeColor="text1"/>
        </w:rPr>
        <w:t>respectively</w:t>
      </w:r>
      <w:r w:rsidR="007476AB" w:rsidRPr="00BF12DE">
        <w:rPr>
          <w:rFonts w:ascii="Calibri" w:eastAsia="Calibri" w:hAnsi="Calibri" w:cs="Calibri"/>
          <w:color w:val="000000" w:themeColor="text1"/>
        </w:rPr>
        <w:t xml:space="preserve">, giving a life expectancy gap of </w:t>
      </w:r>
      <w:r w:rsidR="007476AB" w:rsidRPr="00BF12DE">
        <w:rPr>
          <w:rFonts w:ascii="Calibri" w:eastAsia="Calibri" w:hAnsi="Calibri" w:cs="Calibri"/>
          <w:color w:val="000000" w:themeColor="text1"/>
          <w:highlight w:val="yellow"/>
        </w:rPr>
        <w:t>1.2 years</w:t>
      </w:r>
      <w:r w:rsidR="007476AB" w:rsidRPr="00BF12DE">
        <w:rPr>
          <w:rStyle w:val="FootnoteReference"/>
          <w:rFonts w:ascii="Calibri" w:eastAsia="Calibri" w:hAnsi="Calibri" w:cs="Calibri"/>
          <w:color w:val="000000" w:themeColor="text1"/>
        </w:rPr>
        <w:footnoteReference w:id="5"/>
      </w:r>
      <w:r w:rsidRPr="00BF12DE">
        <w:rPr>
          <w:rFonts w:ascii="Calibri" w:eastAsia="Calibri" w:hAnsi="Calibri" w:cs="Calibri"/>
          <w:color w:val="000000" w:themeColor="text1"/>
        </w:rPr>
        <w:t>.</w:t>
      </w:r>
    </w:p>
    <w:p w14:paraId="60FA25F8" w14:textId="364C046B" w:rsidR="4291077D" w:rsidRDefault="00BF12DE" w:rsidP="1A2349C6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="4291077D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4291077D" w:rsidRPr="00BF12DE">
        <w:rPr>
          <w:rFonts w:ascii="Calibri" w:eastAsia="Calibri" w:hAnsi="Calibri" w:cs="Calibri"/>
          <w:color w:val="000000" w:themeColor="text1"/>
        </w:rPr>
        <w:t xml:space="preserve">is ranked as the </w:t>
      </w:r>
      <w:r w:rsidR="4291077D" w:rsidRPr="00BF12DE">
        <w:rPr>
          <w:rFonts w:ascii="Calibri" w:eastAsia="Calibri" w:hAnsi="Calibri" w:cs="Calibri"/>
          <w:color w:val="000000" w:themeColor="text1"/>
          <w:highlight w:val="yellow"/>
        </w:rPr>
        <w:t>81</w:t>
      </w:r>
      <w:r w:rsidR="4291077D" w:rsidRPr="00BF12DE">
        <w:rPr>
          <w:rFonts w:ascii="Calibri" w:eastAsia="Calibri" w:hAnsi="Calibri" w:cs="Calibri"/>
          <w:color w:val="000000" w:themeColor="text1"/>
          <w:highlight w:val="yellow"/>
          <w:vertAlign w:val="superscript"/>
        </w:rPr>
        <w:t>st</w:t>
      </w:r>
      <w:r w:rsidR="4291077D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4291077D" w:rsidRPr="00BF12DE">
        <w:rPr>
          <w:rFonts w:ascii="Calibri" w:eastAsia="Calibri" w:hAnsi="Calibri" w:cs="Calibri"/>
          <w:color w:val="000000" w:themeColor="text1"/>
        </w:rPr>
        <w:t xml:space="preserve">most deprived </w:t>
      </w:r>
      <w:r w:rsidR="09B0443E" w:rsidRPr="00BF12DE">
        <w:rPr>
          <w:rFonts w:ascii="Calibri" w:eastAsia="Calibri" w:hAnsi="Calibri" w:cs="Calibri"/>
          <w:color w:val="000000" w:themeColor="text1"/>
        </w:rPr>
        <w:t>place</w:t>
      </w:r>
      <w:r w:rsidR="4291077D" w:rsidRPr="00BF12DE">
        <w:rPr>
          <w:rFonts w:ascii="Calibri" w:eastAsia="Calibri" w:hAnsi="Calibri" w:cs="Calibri"/>
          <w:color w:val="000000" w:themeColor="text1"/>
        </w:rPr>
        <w:t xml:space="preserve"> in England out of 317 Local Authority areas. Within Coventry,</w:t>
      </w:r>
      <w:r w:rsidR="4291077D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14% (28 out of 195) </w:t>
      </w:r>
      <w:r w:rsidR="4291077D" w:rsidRPr="00BF12DE">
        <w:rPr>
          <w:rFonts w:ascii="Calibri" w:eastAsia="Calibri" w:hAnsi="Calibri" w:cs="Calibri"/>
          <w:color w:val="000000" w:themeColor="text1"/>
        </w:rPr>
        <w:t>of neighbourhoods (Local Super Output Areas) rank amongst the 10% most deprived areas in the country</w:t>
      </w:r>
      <w:r w:rsidR="4291077D" w:rsidRPr="00BF12DE">
        <w:rPr>
          <w:rStyle w:val="FootnoteReference"/>
          <w:rFonts w:ascii="Calibri" w:eastAsia="Calibri" w:hAnsi="Calibri" w:cs="Calibri"/>
          <w:color w:val="000000" w:themeColor="text1"/>
        </w:rPr>
        <w:footnoteReference w:id="6"/>
      </w:r>
      <w:r w:rsidR="4291077D" w:rsidRPr="00BF12DE">
        <w:rPr>
          <w:rFonts w:ascii="Calibri" w:eastAsia="Calibri" w:hAnsi="Calibri" w:cs="Calibri"/>
          <w:color w:val="000000" w:themeColor="text1"/>
        </w:rPr>
        <w:t>.</w:t>
      </w:r>
      <w:r w:rsidR="40DC32F2" w:rsidRPr="1A2349C6">
        <w:rPr>
          <w:rFonts w:ascii="Calibri" w:eastAsia="Calibri" w:hAnsi="Calibri" w:cs="Calibri"/>
          <w:color w:val="000000" w:themeColor="text1"/>
        </w:rPr>
        <w:t xml:space="preserve"> </w:t>
      </w:r>
      <w:r w:rsidR="494F7568" w:rsidRPr="1A2349C6">
        <w:rPr>
          <w:rFonts w:ascii="Calibri" w:eastAsia="Calibri" w:hAnsi="Calibri" w:cs="Calibri"/>
          <w:color w:val="000000" w:themeColor="text1"/>
        </w:rPr>
        <w:t>Many interconnected</w:t>
      </w:r>
      <w:r w:rsidR="60E036CE" w:rsidRPr="1A2349C6">
        <w:rPr>
          <w:rFonts w:ascii="Calibri" w:eastAsia="Calibri" w:hAnsi="Calibri" w:cs="Calibri"/>
          <w:color w:val="000000" w:themeColor="text1"/>
        </w:rPr>
        <w:t xml:space="preserve"> social and economic</w:t>
      </w:r>
      <w:r w:rsidR="494F7568" w:rsidRPr="1A2349C6">
        <w:rPr>
          <w:rFonts w:ascii="Calibri" w:eastAsia="Calibri" w:hAnsi="Calibri" w:cs="Calibri"/>
          <w:color w:val="000000" w:themeColor="text1"/>
        </w:rPr>
        <w:t xml:space="preserve"> factors contribute to health</w:t>
      </w:r>
      <w:r w:rsidR="00B2724C">
        <w:rPr>
          <w:rFonts w:ascii="Calibri" w:eastAsia="Calibri" w:hAnsi="Calibri" w:cs="Calibri"/>
          <w:color w:val="000000" w:themeColor="text1"/>
        </w:rPr>
        <w:t xml:space="preserve"> experience,</w:t>
      </w:r>
      <w:r w:rsidR="494F7568" w:rsidRPr="1A2349C6">
        <w:rPr>
          <w:rFonts w:ascii="Calibri" w:eastAsia="Calibri" w:hAnsi="Calibri" w:cs="Calibri"/>
          <w:color w:val="000000" w:themeColor="text1"/>
        </w:rPr>
        <w:t xml:space="preserve"> behaviours and outcomes in </w:t>
      </w:r>
      <w:r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="009240E5">
        <w:rPr>
          <w:rFonts w:ascii="Calibri" w:eastAsia="Calibri" w:hAnsi="Calibri" w:cs="Calibri"/>
          <w:color w:val="000000" w:themeColor="text1"/>
        </w:rPr>
        <w:t>,</w:t>
      </w:r>
      <w:r w:rsidR="493B76C5" w:rsidRPr="1A2349C6">
        <w:rPr>
          <w:rFonts w:ascii="Calibri" w:eastAsia="Calibri" w:hAnsi="Calibri" w:cs="Calibri"/>
          <w:color w:val="000000" w:themeColor="text1"/>
        </w:rPr>
        <w:t xml:space="preserve"> some of </w:t>
      </w:r>
      <w:r w:rsidR="009240E5">
        <w:rPr>
          <w:rFonts w:ascii="Calibri" w:eastAsia="Calibri" w:hAnsi="Calibri" w:cs="Calibri"/>
          <w:color w:val="000000" w:themeColor="text1"/>
        </w:rPr>
        <w:t>the most significant of which</w:t>
      </w:r>
      <w:r w:rsidR="493B76C5" w:rsidRPr="1A2349C6">
        <w:rPr>
          <w:rFonts w:ascii="Calibri" w:eastAsia="Calibri" w:hAnsi="Calibri" w:cs="Calibri"/>
          <w:color w:val="000000" w:themeColor="text1"/>
        </w:rPr>
        <w:t xml:space="preserve"> are explored in greater detail below.</w:t>
      </w:r>
    </w:p>
    <w:p w14:paraId="1D3D2359" w14:textId="1A82C0BF" w:rsidR="0AD02A87" w:rsidRPr="00B2724C" w:rsidRDefault="00927D91" w:rsidP="1A2349C6">
      <w:pPr>
        <w:rPr>
          <w:b/>
          <w:bCs/>
          <w:color w:val="3F1C5A"/>
          <w:sz w:val="24"/>
          <w:szCs w:val="24"/>
        </w:rPr>
      </w:pPr>
      <w:r w:rsidRPr="00B2724C">
        <w:rPr>
          <w:b/>
          <w:bCs/>
          <w:color w:val="3F1C5A"/>
          <w:sz w:val="24"/>
          <w:szCs w:val="24"/>
        </w:rPr>
        <w:t xml:space="preserve">Key </w:t>
      </w:r>
      <w:r w:rsidR="0AD02A87" w:rsidRPr="00B2724C">
        <w:rPr>
          <w:b/>
          <w:bCs/>
          <w:color w:val="3F1C5A"/>
          <w:sz w:val="24"/>
          <w:szCs w:val="24"/>
        </w:rPr>
        <w:t xml:space="preserve">Social Determinants of Health in </w:t>
      </w:r>
      <w:r w:rsidR="00BF12DE" w:rsidRPr="00BF12DE">
        <w:rPr>
          <w:b/>
          <w:bCs/>
          <w:color w:val="3F1C5A"/>
          <w:sz w:val="24"/>
          <w:szCs w:val="24"/>
          <w:highlight w:val="yellow"/>
        </w:rPr>
        <w:t>YOUR AREA</w:t>
      </w:r>
    </w:p>
    <w:p w14:paraId="62352E9A" w14:textId="7C7979DA" w:rsidR="06F67176" w:rsidRDefault="06F67176" w:rsidP="1A2349C6">
      <w:pPr>
        <w:rPr>
          <w:b/>
          <w:bCs/>
        </w:rPr>
      </w:pPr>
      <w:r w:rsidRPr="1A2349C6">
        <w:rPr>
          <w:b/>
          <w:bCs/>
        </w:rPr>
        <w:t>Income</w:t>
      </w:r>
    </w:p>
    <w:p w14:paraId="3D3A99E0" w14:textId="128015A3" w:rsidR="4D009D33" w:rsidRDefault="4D009D33" w:rsidP="1A2349C6">
      <w:r>
        <w:t xml:space="preserve">Income and health share a strong link, with health outcomes improving as income rises. Income also </w:t>
      </w:r>
      <w:r w:rsidR="3AD53E4B">
        <w:t xml:space="preserve">has a knock-on effect </w:t>
      </w:r>
      <w:r w:rsidR="009240E5">
        <w:t>on</w:t>
      </w:r>
      <w:r w:rsidR="3AD53E4B">
        <w:t xml:space="preserve"> many other </w:t>
      </w:r>
      <w:r w:rsidR="009240E5">
        <w:t>SDH</w:t>
      </w:r>
      <w:r w:rsidR="3AD53E4B">
        <w:t>, for instance parental income affects child</w:t>
      </w:r>
      <w:r w:rsidR="208E4748">
        <w:t>ren’s educational attainment.</w:t>
      </w:r>
      <w:r w:rsidR="009240E5">
        <w:t xml:space="preserve"> Low income is a key driver of deprivation and poor health in </w:t>
      </w:r>
      <w:r w:rsidR="00023BA7">
        <w:rPr>
          <w:highlight w:val="yellow"/>
        </w:rPr>
        <w:t>YOUR AREA</w:t>
      </w:r>
      <w:r w:rsidR="009240E5" w:rsidRPr="00BF12DE">
        <w:rPr>
          <w:highlight w:val="yellow"/>
        </w:rPr>
        <w:t xml:space="preserve">; </w:t>
      </w:r>
      <w:r w:rsidR="6F190F51" w:rsidRPr="00BF12DE">
        <w:rPr>
          <w:highlight w:val="yellow"/>
        </w:rPr>
        <w:t>31 (</w:t>
      </w:r>
      <w:r w:rsidR="36DAC084" w:rsidRPr="00BF12DE">
        <w:rPr>
          <w:highlight w:val="yellow"/>
        </w:rPr>
        <w:t>16%</w:t>
      </w:r>
      <w:r w:rsidR="76B18834" w:rsidRPr="00BF12DE">
        <w:rPr>
          <w:highlight w:val="yellow"/>
        </w:rPr>
        <w:t>)</w:t>
      </w:r>
      <w:r w:rsidR="36DAC084" w:rsidRPr="00BF12DE">
        <w:rPr>
          <w:highlight w:val="yellow"/>
        </w:rPr>
        <w:t xml:space="preserve"> of </w:t>
      </w:r>
      <w:r w:rsidR="00023BA7">
        <w:rPr>
          <w:highlight w:val="yellow"/>
        </w:rPr>
        <w:t>YOUR AREA’S</w:t>
      </w:r>
      <w:r w:rsidR="36DAC084" w:rsidRPr="00BF12DE">
        <w:rPr>
          <w:highlight w:val="yellow"/>
        </w:rPr>
        <w:t xml:space="preserve"> </w:t>
      </w:r>
      <w:r w:rsidR="36DAC084" w:rsidRPr="00023BA7">
        <w:t xml:space="preserve">LSOAs </w:t>
      </w:r>
      <w:r w:rsidR="009240E5" w:rsidRPr="00023BA7">
        <w:t>a</w:t>
      </w:r>
      <w:r w:rsidR="36DAC084" w:rsidRPr="00023BA7">
        <w:t xml:space="preserve">re among the 10% most deprived areas in the country </w:t>
      </w:r>
      <w:r w:rsidR="757FA5B5" w:rsidRPr="00023BA7">
        <w:t>relating to low income</w:t>
      </w:r>
      <w:r w:rsidRPr="1A2349C6">
        <w:rPr>
          <w:rStyle w:val="FootnoteReference"/>
        </w:rPr>
        <w:footnoteReference w:id="7"/>
      </w:r>
      <w:r w:rsidR="757FA5B5">
        <w:t xml:space="preserve">. This includes those who are out-of-work and people on low earnings. </w:t>
      </w:r>
    </w:p>
    <w:p w14:paraId="0E71AB2C" w14:textId="30B7BBE1" w:rsidR="4BB54C4D" w:rsidRDefault="4BB54C4D" w:rsidP="1A2349C6">
      <w:pPr>
        <w:rPr>
          <w:rFonts w:ascii="Calibri" w:eastAsia="Calibri" w:hAnsi="Calibri" w:cs="Calibri"/>
          <w:color w:val="000000" w:themeColor="text1"/>
        </w:rPr>
      </w:pPr>
      <w:r>
        <w:t xml:space="preserve">With regards to earnings, </w:t>
      </w:r>
      <w:r w:rsidRPr="1A2349C6">
        <w:rPr>
          <w:rFonts w:ascii="Calibri" w:eastAsia="Calibri" w:hAnsi="Calibri" w:cs="Calibri"/>
          <w:color w:val="000000" w:themeColor="text1"/>
        </w:rPr>
        <w:t xml:space="preserve">male full-time workers </w:t>
      </w:r>
      <w:r w:rsidRPr="00023BA7">
        <w:rPr>
          <w:rFonts w:ascii="Calibri" w:eastAsia="Calibri" w:hAnsi="Calibri" w:cs="Calibri"/>
          <w:color w:val="000000" w:themeColor="text1"/>
        </w:rPr>
        <w:t xml:space="preserve">in </w:t>
      </w:r>
      <w:r w:rsidR="00023BA7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Pr="00023BA7">
        <w:rPr>
          <w:rFonts w:ascii="Calibri" w:eastAsia="Calibri" w:hAnsi="Calibri" w:cs="Calibri"/>
          <w:color w:val="000000" w:themeColor="text1"/>
        </w:rPr>
        <w:t xml:space="preserve">have median earnings of 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>£34,873, which is slightly above the average for Great Britain (£33,592</w:t>
      </w:r>
      <w:r w:rsidRPr="00023BA7">
        <w:rPr>
          <w:rFonts w:ascii="Calibri" w:eastAsia="Calibri" w:hAnsi="Calibri" w:cs="Calibri"/>
          <w:color w:val="000000" w:themeColor="text1"/>
        </w:rPr>
        <w:t>). However, female full-time workers in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00023BA7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have be</w:t>
      </w:r>
      <w:r w:rsidR="610CD9DA" w:rsidRPr="00BF12DE">
        <w:rPr>
          <w:rFonts w:ascii="Calibri" w:eastAsia="Calibri" w:hAnsi="Calibri" w:cs="Calibri"/>
          <w:color w:val="000000" w:themeColor="text1"/>
          <w:highlight w:val="yellow"/>
        </w:rPr>
        <w:t>low average</w:t>
      </w:r>
      <w:r w:rsidR="00927D91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earnings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78147E19" w:rsidRPr="00BF12DE">
        <w:rPr>
          <w:rFonts w:ascii="Calibri" w:eastAsia="Calibri" w:hAnsi="Calibri" w:cs="Calibri"/>
          <w:color w:val="000000" w:themeColor="text1"/>
          <w:highlight w:val="yellow"/>
        </w:rPr>
        <w:t>(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>£26,153</w:t>
      </w:r>
      <w:r w:rsidR="09F9D082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="00BD18B3" w:rsidRPr="00023BA7">
        <w:rPr>
          <w:rFonts w:ascii="Calibri" w:eastAsia="Calibri" w:hAnsi="Calibri" w:cs="Calibri"/>
          <w:color w:val="000000" w:themeColor="text1"/>
        </w:rPr>
        <w:t>compared to</w:t>
      </w:r>
      <w:r w:rsidR="09F9D082" w:rsidRPr="00023BA7">
        <w:rPr>
          <w:rFonts w:ascii="Calibri" w:eastAsia="Calibri" w:hAnsi="Calibri" w:cs="Calibri"/>
          <w:color w:val="000000" w:themeColor="text1"/>
        </w:rPr>
        <w:t xml:space="preserve"> £28,332</w:t>
      </w:r>
      <w:r w:rsidR="09F9D082" w:rsidRPr="00BF12DE">
        <w:rPr>
          <w:rFonts w:ascii="Calibri" w:eastAsia="Calibri" w:hAnsi="Calibri" w:cs="Calibri"/>
          <w:color w:val="000000" w:themeColor="text1"/>
          <w:highlight w:val="yellow"/>
        </w:rPr>
        <w:t>)</w:t>
      </w:r>
      <w:r w:rsidR="009240E5" w:rsidRPr="00BF12DE">
        <w:rPr>
          <w:rStyle w:val="FootnoteReference"/>
          <w:rFonts w:ascii="Calibri" w:eastAsia="Calibri" w:hAnsi="Calibri" w:cs="Calibri"/>
          <w:color w:val="000000" w:themeColor="text1"/>
          <w:highlight w:val="yellow"/>
        </w:rPr>
        <w:footnoteReference w:id="8"/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>.</w:t>
      </w:r>
      <w:r w:rsidR="00274CB7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Due to the high number of areas within </w:t>
      </w:r>
      <w:r w:rsidR="00023BA7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="00274CB7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facing income deprivation as described above, we can assume that earnings will vary similarly between different parts of the city.</w:t>
      </w:r>
    </w:p>
    <w:p w14:paraId="54A48127" w14:textId="6258145F" w:rsidR="48A9B995" w:rsidRDefault="48A9B995" w:rsidP="1A2349C6">
      <w:pPr>
        <w:rPr>
          <w:rFonts w:ascii="Calibri" w:eastAsia="Calibri" w:hAnsi="Calibri" w:cs="Calibri"/>
          <w:b/>
          <w:bCs/>
          <w:color w:val="000000" w:themeColor="text1"/>
        </w:rPr>
      </w:pPr>
      <w:r w:rsidRPr="1A2349C6">
        <w:rPr>
          <w:rFonts w:ascii="Calibri" w:eastAsia="Calibri" w:hAnsi="Calibri" w:cs="Calibri"/>
          <w:b/>
          <w:bCs/>
          <w:color w:val="000000" w:themeColor="text1"/>
        </w:rPr>
        <w:t>Employment</w:t>
      </w:r>
    </w:p>
    <w:p w14:paraId="5D4A73B6" w14:textId="2640C7BC" w:rsidR="3BD4A96E" w:rsidRDefault="3BD4A96E" w:rsidP="1A2349C6">
      <w:pPr>
        <w:rPr>
          <w:rFonts w:ascii="Calibri" w:eastAsia="Calibri" w:hAnsi="Calibri" w:cs="Calibri"/>
          <w:color w:val="000000" w:themeColor="text1"/>
        </w:rPr>
      </w:pPr>
      <w:r w:rsidRPr="1A2349C6">
        <w:rPr>
          <w:rFonts w:ascii="Calibri" w:eastAsia="Calibri" w:hAnsi="Calibri" w:cs="Calibri"/>
          <w:color w:val="000000" w:themeColor="text1"/>
        </w:rPr>
        <w:t xml:space="preserve">Employment is one of the most important </w:t>
      </w:r>
      <w:r w:rsidR="007C4F35">
        <w:rPr>
          <w:rFonts w:ascii="Calibri" w:eastAsia="Calibri" w:hAnsi="Calibri" w:cs="Calibri"/>
          <w:color w:val="000000" w:themeColor="text1"/>
        </w:rPr>
        <w:t>SDH</w:t>
      </w:r>
      <w:r w:rsidRPr="1A2349C6">
        <w:rPr>
          <w:rFonts w:ascii="Calibri" w:eastAsia="Calibri" w:hAnsi="Calibri" w:cs="Calibri"/>
          <w:color w:val="000000" w:themeColor="text1"/>
        </w:rPr>
        <w:t xml:space="preserve">, with the long-term unemployed having lower life expectancies and worse </w:t>
      </w:r>
      <w:r w:rsidR="1D604FE0" w:rsidRPr="1A2349C6">
        <w:rPr>
          <w:rFonts w:ascii="Calibri" w:eastAsia="Calibri" w:hAnsi="Calibri" w:cs="Calibri"/>
          <w:color w:val="000000" w:themeColor="text1"/>
        </w:rPr>
        <w:t xml:space="preserve">general health than those </w:t>
      </w:r>
      <w:r w:rsidR="1D604FE0" w:rsidRPr="1A2349C6">
        <w:rPr>
          <w:rFonts w:ascii="Calibri" w:eastAsia="Calibri" w:hAnsi="Calibri" w:cs="Calibri"/>
          <w:color w:val="000000" w:themeColor="text1"/>
        </w:rPr>
        <w:lastRenderedPageBreak/>
        <w:t>in work. Children growing up in workless households are more likely to fail at all stages of education.</w:t>
      </w:r>
    </w:p>
    <w:p w14:paraId="7359ABB2" w14:textId="0E5F69F2" w:rsidR="5F370DC1" w:rsidRDefault="5F370DC1" w:rsidP="1A2349C6">
      <w:pPr>
        <w:rPr>
          <w:rFonts w:ascii="Calibri" w:eastAsia="Calibri" w:hAnsi="Calibri" w:cs="Calibri"/>
          <w:color w:val="000000" w:themeColor="text1"/>
        </w:rPr>
      </w:pPr>
      <w:r w:rsidRPr="00023BA7">
        <w:rPr>
          <w:rFonts w:ascii="Calibri" w:eastAsia="Calibri" w:hAnsi="Calibri" w:cs="Calibri"/>
          <w:color w:val="000000" w:themeColor="text1"/>
        </w:rPr>
        <w:t xml:space="preserve">Unemployment rates are 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>higher</w:t>
      </w:r>
      <w:r w:rsidRPr="00023BA7">
        <w:rPr>
          <w:rFonts w:ascii="Calibri" w:eastAsia="Calibri" w:hAnsi="Calibri" w:cs="Calibri"/>
          <w:color w:val="000000" w:themeColor="text1"/>
        </w:rPr>
        <w:t xml:space="preserve"> in </w:t>
      </w:r>
      <w:r w:rsidR="00023BA7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</w:t>
      </w:r>
      <w:r w:rsidRPr="00023BA7">
        <w:rPr>
          <w:rFonts w:ascii="Calibri" w:eastAsia="Calibri" w:hAnsi="Calibri" w:cs="Calibri"/>
          <w:color w:val="000000" w:themeColor="text1"/>
        </w:rPr>
        <w:t xml:space="preserve">than the national average </w:t>
      </w:r>
      <w:r w:rsidR="007C4F35" w:rsidRPr="00023BA7">
        <w:rPr>
          <w:rFonts w:ascii="Calibri" w:eastAsia="Calibri" w:hAnsi="Calibri" w:cs="Calibri"/>
          <w:color w:val="000000" w:themeColor="text1"/>
        </w:rPr>
        <w:t>(</w:t>
      </w:r>
      <w:r w:rsidR="007C4F35" w:rsidRPr="00023BA7">
        <w:rPr>
          <w:rFonts w:ascii="Calibri" w:eastAsia="Calibri" w:hAnsi="Calibri" w:cs="Calibri"/>
          <w:color w:val="000000" w:themeColor="text1"/>
          <w:highlight w:val="yellow"/>
        </w:rPr>
        <w:t xml:space="preserve">5.4% </w:t>
      </w:r>
      <w:r w:rsidR="007C4F35" w:rsidRPr="00023BA7">
        <w:rPr>
          <w:rFonts w:ascii="Calibri" w:eastAsia="Calibri" w:hAnsi="Calibri" w:cs="Calibri"/>
          <w:color w:val="000000" w:themeColor="text1"/>
        </w:rPr>
        <w:t xml:space="preserve">vs. </w:t>
      </w:r>
      <w:r w:rsidRPr="00023BA7">
        <w:rPr>
          <w:rFonts w:ascii="Calibri" w:eastAsia="Calibri" w:hAnsi="Calibri" w:cs="Calibri"/>
          <w:color w:val="000000" w:themeColor="text1"/>
        </w:rPr>
        <w:t>4.1%</w:t>
      </w:r>
      <w:r w:rsidR="007C4F35" w:rsidRPr="00023BA7">
        <w:rPr>
          <w:rFonts w:ascii="Calibri" w:eastAsia="Calibri" w:hAnsi="Calibri" w:cs="Calibri"/>
          <w:color w:val="000000" w:themeColor="text1"/>
        </w:rPr>
        <w:t xml:space="preserve"> respectively)</w:t>
      </w:r>
      <w:r w:rsidRPr="00023BA7">
        <w:rPr>
          <w:rFonts w:ascii="Calibri" w:eastAsia="Calibri" w:hAnsi="Calibri" w:cs="Calibri"/>
          <w:color w:val="000000" w:themeColor="text1"/>
        </w:rPr>
        <w:t>.</w:t>
      </w:r>
      <w:r w:rsidR="55CC4378" w:rsidRPr="00023BA7">
        <w:rPr>
          <w:rFonts w:ascii="Calibri" w:eastAsia="Calibri" w:hAnsi="Calibri" w:cs="Calibri"/>
          <w:color w:val="000000" w:themeColor="text1"/>
        </w:rPr>
        <w:t xml:space="preserve"> </w:t>
      </w:r>
      <w:r w:rsidR="5401FFEB" w:rsidRPr="00023BA7">
        <w:rPr>
          <w:rFonts w:ascii="Calibri" w:eastAsia="Calibri" w:hAnsi="Calibri" w:cs="Calibri"/>
          <w:color w:val="000000" w:themeColor="text1"/>
        </w:rPr>
        <w:t xml:space="preserve">Within </w:t>
      </w:r>
      <w:r w:rsidR="00023BA7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="5401FFEB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, </w:t>
      </w:r>
      <w:r w:rsidR="55CC4378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69.8% </w:t>
      </w:r>
      <w:r w:rsidR="55CC4378" w:rsidRPr="00023BA7">
        <w:rPr>
          <w:rFonts w:ascii="Calibri" w:eastAsia="Calibri" w:hAnsi="Calibri" w:cs="Calibri"/>
          <w:color w:val="000000" w:themeColor="text1"/>
        </w:rPr>
        <w:t xml:space="preserve">of adult females are economically active, </w:t>
      </w:r>
      <w:r w:rsidR="007C4F35" w:rsidRPr="00023BA7">
        <w:rPr>
          <w:rFonts w:ascii="Calibri" w:eastAsia="Calibri" w:hAnsi="Calibri" w:cs="Calibri"/>
          <w:color w:val="000000" w:themeColor="text1"/>
        </w:rPr>
        <w:t>compared to</w:t>
      </w:r>
      <w:r w:rsidR="55CC4378" w:rsidRPr="00023BA7">
        <w:rPr>
          <w:rFonts w:ascii="Calibri" w:eastAsia="Calibri" w:hAnsi="Calibri" w:cs="Calibri"/>
          <w:color w:val="000000" w:themeColor="text1"/>
        </w:rPr>
        <w:t xml:space="preserve"> the national average of 74.7%.</w:t>
      </w:r>
      <w:r w:rsidR="55CC4378" w:rsidRPr="00BF12DE">
        <w:rPr>
          <w:rFonts w:ascii="Calibri" w:eastAsia="Calibri" w:hAnsi="Calibri" w:cs="Calibri"/>
          <w:color w:val="000000" w:themeColor="text1"/>
          <w:highlight w:val="yellow"/>
        </w:rPr>
        <w:t xml:space="preserve"> 79.9% </w:t>
      </w:r>
      <w:r w:rsidR="55CC4378" w:rsidRPr="00023BA7">
        <w:rPr>
          <w:rFonts w:ascii="Calibri" w:eastAsia="Calibri" w:hAnsi="Calibri" w:cs="Calibri"/>
          <w:color w:val="000000" w:themeColor="text1"/>
        </w:rPr>
        <w:t>of adult males are economically active, compared to</w:t>
      </w:r>
      <w:r w:rsidR="18A10CF2" w:rsidRPr="00023BA7">
        <w:rPr>
          <w:rFonts w:ascii="Calibri" w:eastAsia="Calibri" w:hAnsi="Calibri" w:cs="Calibri"/>
          <w:color w:val="000000" w:themeColor="text1"/>
        </w:rPr>
        <w:t xml:space="preserve"> a</w:t>
      </w:r>
      <w:r w:rsidR="55CC4378" w:rsidRPr="00023BA7">
        <w:rPr>
          <w:rFonts w:ascii="Calibri" w:eastAsia="Calibri" w:hAnsi="Calibri" w:cs="Calibri"/>
          <w:color w:val="000000" w:themeColor="text1"/>
        </w:rPr>
        <w:t xml:space="preserve"> national average</w:t>
      </w:r>
      <w:r w:rsidR="00CA1D55" w:rsidRPr="00023BA7">
        <w:rPr>
          <w:rFonts w:ascii="Calibri" w:eastAsia="Calibri" w:hAnsi="Calibri" w:cs="Calibri"/>
          <w:color w:val="000000" w:themeColor="text1"/>
        </w:rPr>
        <w:t xml:space="preserve"> of</w:t>
      </w:r>
      <w:r w:rsidR="55CC4378" w:rsidRPr="00023BA7">
        <w:rPr>
          <w:rFonts w:ascii="Calibri" w:eastAsia="Calibri" w:hAnsi="Calibri" w:cs="Calibri"/>
          <w:color w:val="000000" w:themeColor="text1"/>
        </w:rPr>
        <w:t xml:space="preserve"> 82.3%</w:t>
      </w:r>
      <w:r w:rsidR="00734319" w:rsidRPr="00023BA7">
        <w:rPr>
          <w:rStyle w:val="FootnoteReference"/>
          <w:rFonts w:ascii="Calibri" w:eastAsia="Calibri" w:hAnsi="Calibri" w:cs="Calibri"/>
          <w:color w:val="000000" w:themeColor="text1"/>
        </w:rPr>
        <w:footnoteReference w:id="9"/>
      </w:r>
      <w:r w:rsidR="55CC4378" w:rsidRPr="00023BA7">
        <w:rPr>
          <w:rFonts w:ascii="Calibri" w:eastAsia="Calibri" w:hAnsi="Calibri" w:cs="Calibri"/>
          <w:color w:val="000000" w:themeColor="text1"/>
        </w:rPr>
        <w:t>.</w:t>
      </w:r>
    </w:p>
    <w:p w14:paraId="4ACB1E1F" w14:textId="578AED88" w:rsidR="6771D572" w:rsidRPr="00B2724C" w:rsidRDefault="6771D572" w:rsidP="1A2349C6">
      <w:pPr>
        <w:rPr>
          <w:rFonts w:ascii="Calibri" w:eastAsia="Calibri" w:hAnsi="Calibri" w:cs="Calibri"/>
          <w:b/>
          <w:bCs/>
          <w:color w:val="3F1C5A"/>
          <w:sz w:val="24"/>
          <w:szCs w:val="24"/>
        </w:rPr>
      </w:pPr>
      <w:r w:rsidRPr="00B2724C">
        <w:rPr>
          <w:rFonts w:ascii="Calibri" w:eastAsia="Calibri" w:hAnsi="Calibri" w:cs="Calibri"/>
          <w:b/>
          <w:bCs/>
          <w:color w:val="3F1C5A"/>
          <w:sz w:val="24"/>
          <w:szCs w:val="24"/>
        </w:rPr>
        <w:t>Gendered</w:t>
      </w:r>
      <w:r w:rsidR="2E3252BF" w:rsidRPr="00B2724C">
        <w:rPr>
          <w:rFonts w:ascii="Calibri" w:eastAsia="Calibri" w:hAnsi="Calibri" w:cs="Calibri"/>
          <w:b/>
          <w:bCs/>
          <w:color w:val="3F1C5A"/>
          <w:sz w:val="24"/>
          <w:szCs w:val="24"/>
        </w:rPr>
        <w:t xml:space="preserve"> and Racial</w:t>
      </w:r>
      <w:r w:rsidRPr="00B2724C">
        <w:rPr>
          <w:rFonts w:ascii="Calibri" w:eastAsia="Calibri" w:hAnsi="Calibri" w:cs="Calibri"/>
          <w:b/>
          <w:bCs/>
          <w:color w:val="3F1C5A"/>
          <w:sz w:val="24"/>
          <w:szCs w:val="24"/>
        </w:rPr>
        <w:t xml:space="preserve"> </w:t>
      </w:r>
      <w:r w:rsidR="2322A316" w:rsidRPr="00B2724C">
        <w:rPr>
          <w:rFonts w:ascii="Calibri" w:eastAsia="Calibri" w:hAnsi="Calibri" w:cs="Calibri"/>
          <w:b/>
          <w:bCs/>
          <w:color w:val="3F1C5A"/>
          <w:sz w:val="24"/>
          <w:szCs w:val="24"/>
        </w:rPr>
        <w:t xml:space="preserve">Health Inequalities in </w:t>
      </w:r>
      <w:r w:rsidR="00023BA7" w:rsidRPr="00023BA7">
        <w:rPr>
          <w:rFonts w:ascii="Calibri" w:eastAsia="Calibri" w:hAnsi="Calibri" w:cs="Calibri"/>
          <w:b/>
          <w:bCs/>
          <w:color w:val="3F1C5A"/>
          <w:sz w:val="24"/>
          <w:szCs w:val="24"/>
          <w:highlight w:val="yellow"/>
        </w:rPr>
        <w:t>YOUR AREA</w:t>
      </w:r>
    </w:p>
    <w:p w14:paraId="1AC1C37D" w14:textId="5E631EE1" w:rsidR="07FAE5A5" w:rsidRDefault="07FAE5A5" w:rsidP="1A2349C6">
      <w:r>
        <w:t xml:space="preserve">Women and ethnic minority groups </w:t>
      </w:r>
      <w:r w:rsidR="795EC037">
        <w:t xml:space="preserve">are </w:t>
      </w:r>
      <w:r>
        <w:t>disproportionately affected by socioeconomic deprivation</w:t>
      </w:r>
      <w:r w:rsidR="08178CD6">
        <w:t>, which in turn leads to poorer health outcomes.</w:t>
      </w:r>
      <w:r>
        <w:t xml:space="preserve"> Research</w:t>
      </w:r>
      <w:r w:rsidR="211ED548">
        <w:t xml:space="preserve"> has</w:t>
      </w:r>
      <w:r>
        <w:t xml:space="preserve"> argue</w:t>
      </w:r>
      <w:r w:rsidR="7378B0E8">
        <w:t>d</w:t>
      </w:r>
      <w:r>
        <w:t xml:space="preserve"> for</w:t>
      </w:r>
      <w:r w:rsidR="0EF37660">
        <w:t xml:space="preserve"> </w:t>
      </w:r>
      <w:r w:rsidR="007C4F35">
        <w:t>improved</w:t>
      </w:r>
      <w:r w:rsidR="0EF37660">
        <w:t xml:space="preserve"> merging of</w:t>
      </w:r>
      <w:r>
        <w:t xml:space="preserve"> </w:t>
      </w:r>
      <w:r w:rsidR="73495E71">
        <w:t xml:space="preserve">area-based </w:t>
      </w:r>
      <w:r w:rsidR="6A690744">
        <w:t>analysis</w:t>
      </w:r>
      <w:r w:rsidR="73495E71">
        <w:t xml:space="preserve"> on deprivation with </w:t>
      </w:r>
      <w:r w:rsidR="007C4F35">
        <w:t>that</w:t>
      </w:r>
      <w:r w:rsidR="07DC2CED">
        <w:t xml:space="preserve"> of</w:t>
      </w:r>
      <w:r w:rsidR="537E1C8F">
        <w:t xml:space="preserve"> </w:t>
      </w:r>
      <w:r>
        <w:t>intersectional</w:t>
      </w:r>
      <w:r w:rsidR="6C0CB51F">
        <w:t xml:space="preserve"> inequalities</w:t>
      </w:r>
      <w:r w:rsidRPr="1A2349C6">
        <w:rPr>
          <w:rStyle w:val="FootnoteReference"/>
        </w:rPr>
        <w:footnoteReference w:id="10"/>
      </w:r>
      <w:r w:rsidR="6C0CB51F">
        <w:t>. The follo</w:t>
      </w:r>
      <w:r w:rsidR="59E15637">
        <w:t xml:space="preserve">wing paragraphs briefly explore the relation of gender and race to health inequalities in </w:t>
      </w:r>
      <w:r w:rsidR="00023BA7">
        <w:rPr>
          <w:highlight w:val="yellow"/>
        </w:rPr>
        <w:t>YOUR AREA</w:t>
      </w:r>
      <w:r w:rsidR="59E15637">
        <w:t xml:space="preserve"> and the UK more widely.</w:t>
      </w:r>
    </w:p>
    <w:p w14:paraId="3A90663C" w14:textId="7C005E70" w:rsidR="4595B1CA" w:rsidRDefault="4595B1CA" w:rsidP="1A2349C6">
      <w:pPr>
        <w:rPr>
          <w:rFonts w:ascii="Calibri" w:eastAsia="Calibri" w:hAnsi="Calibri" w:cs="Calibri"/>
        </w:rPr>
      </w:pPr>
      <w:r w:rsidRPr="1A2349C6">
        <w:rPr>
          <w:rFonts w:ascii="Calibri" w:eastAsia="Calibri" w:hAnsi="Calibri" w:cs="Calibri"/>
          <w:b/>
          <w:bCs/>
        </w:rPr>
        <w:t>Gender</w:t>
      </w:r>
    </w:p>
    <w:p w14:paraId="5D336488" w14:textId="203CF880" w:rsidR="4595B1CA" w:rsidRDefault="4595B1CA" w:rsidP="1A2349C6">
      <w:pPr>
        <w:rPr>
          <w:rFonts w:ascii="Calibri" w:eastAsia="Calibri" w:hAnsi="Calibri" w:cs="Calibri"/>
        </w:rPr>
      </w:pPr>
      <w:r w:rsidRPr="1A2349C6">
        <w:rPr>
          <w:rFonts w:ascii="Calibri" w:eastAsia="Calibri" w:hAnsi="Calibri" w:cs="Calibri"/>
        </w:rPr>
        <w:t>While women have longer life expectancies than men, they spend more of their lives in poor health</w:t>
      </w:r>
      <w:r w:rsidR="08D84F57" w:rsidRPr="1A2349C6">
        <w:rPr>
          <w:rFonts w:ascii="Calibri" w:eastAsia="Calibri" w:hAnsi="Calibri" w:cs="Calibri"/>
        </w:rPr>
        <w:t xml:space="preserve">. </w:t>
      </w:r>
      <w:r w:rsidR="08D84F57" w:rsidRPr="1A2349C6">
        <w:rPr>
          <w:rFonts w:ascii="Calibri" w:eastAsia="Calibri" w:hAnsi="Calibri" w:cs="Calibri"/>
          <w:color w:val="000000" w:themeColor="text1"/>
        </w:rPr>
        <w:t>In</w:t>
      </w:r>
      <w:r w:rsidR="007C4F35">
        <w:rPr>
          <w:rFonts w:ascii="Calibri" w:eastAsia="Calibri" w:hAnsi="Calibri" w:cs="Calibri"/>
          <w:color w:val="000000" w:themeColor="text1"/>
        </w:rPr>
        <w:t xml:space="preserve"> line with the national average, in</w:t>
      </w:r>
      <w:r w:rsidR="08D84F57" w:rsidRPr="1A2349C6">
        <w:rPr>
          <w:rFonts w:ascii="Calibri" w:eastAsia="Calibri" w:hAnsi="Calibri" w:cs="Calibri"/>
          <w:color w:val="000000" w:themeColor="text1"/>
        </w:rPr>
        <w:t xml:space="preserve"> </w:t>
      </w:r>
      <w:r w:rsidR="00023BA7" w:rsidRPr="00023BA7">
        <w:rPr>
          <w:rFonts w:ascii="Calibri" w:eastAsia="Calibri" w:hAnsi="Calibri" w:cs="Calibri"/>
          <w:color w:val="000000" w:themeColor="text1"/>
          <w:highlight w:val="yellow"/>
        </w:rPr>
        <w:t>YOUR AREA</w:t>
      </w:r>
      <w:r w:rsidR="08D84F57" w:rsidRPr="1A2349C6">
        <w:rPr>
          <w:rFonts w:ascii="Calibri" w:eastAsia="Calibri" w:hAnsi="Calibri" w:cs="Calibri"/>
          <w:color w:val="000000" w:themeColor="text1"/>
        </w:rPr>
        <w:t xml:space="preserve"> females can expect to live </w:t>
      </w:r>
      <w:r w:rsidR="08D84F57" w:rsidRPr="00023BA7">
        <w:rPr>
          <w:rFonts w:ascii="Calibri" w:eastAsia="Calibri" w:hAnsi="Calibri" w:cs="Calibri"/>
          <w:color w:val="000000" w:themeColor="text1"/>
          <w:highlight w:val="yellow"/>
        </w:rPr>
        <w:t>almost a quarter of their lives in poor health (18.9 years)</w:t>
      </w:r>
      <w:r w:rsidR="08D84F57" w:rsidRPr="1A2349C6">
        <w:rPr>
          <w:rFonts w:ascii="Calibri" w:eastAsia="Calibri" w:hAnsi="Calibri" w:cs="Calibri"/>
          <w:color w:val="000000" w:themeColor="text1"/>
        </w:rPr>
        <w:t xml:space="preserve"> whilst males can expect to </w:t>
      </w:r>
      <w:r w:rsidR="08D84F57" w:rsidRPr="00023BA7">
        <w:rPr>
          <w:rFonts w:ascii="Calibri" w:eastAsia="Calibri" w:hAnsi="Calibri" w:cs="Calibri"/>
          <w:color w:val="000000" w:themeColor="text1"/>
          <w:highlight w:val="yellow"/>
        </w:rPr>
        <w:t>live just over a fifth of their lives in poor health (15.4 years)</w:t>
      </w:r>
      <w:r w:rsidRPr="1A2349C6">
        <w:rPr>
          <w:rStyle w:val="FootnoteReference"/>
          <w:rFonts w:ascii="Calibri" w:eastAsia="Calibri" w:hAnsi="Calibri" w:cs="Calibri"/>
          <w:color w:val="000000" w:themeColor="text1"/>
        </w:rPr>
        <w:footnoteReference w:id="11"/>
      </w:r>
      <w:r w:rsidR="00BCB73C" w:rsidRPr="1A2349C6">
        <w:rPr>
          <w:rFonts w:ascii="Calibri" w:eastAsia="Calibri" w:hAnsi="Calibri" w:cs="Calibri"/>
          <w:color w:val="000000" w:themeColor="text1"/>
        </w:rPr>
        <w:t xml:space="preserve">. </w:t>
      </w:r>
      <w:r w:rsidR="007C4F35">
        <w:rPr>
          <w:rFonts w:ascii="Calibri" w:eastAsia="Calibri" w:hAnsi="Calibri" w:cs="Calibri"/>
          <w:color w:val="000000" w:themeColor="text1"/>
        </w:rPr>
        <w:t>Further, r</w:t>
      </w:r>
      <w:r w:rsidR="7ADA52F9" w:rsidRPr="1A2349C6">
        <w:rPr>
          <w:rFonts w:ascii="Calibri" w:eastAsia="Calibri" w:hAnsi="Calibri" w:cs="Calibri"/>
          <w:color w:val="000000" w:themeColor="text1"/>
        </w:rPr>
        <w:t xml:space="preserve">esearch has shown that </w:t>
      </w:r>
      <w:r w:rsidR="15A86EC9" w:rsidRPr="1A2349C6">
        <w:rPr>
          <w:rFonts w:ascii="Calibri" w:eastAsia="Calibri" w:hAnsi="Calibri" w:cs="Calibri"/>
          <w:color w:val="000000" w:themeColor="text1"/>
        </w:rPr>
        <w:t xml:space="preserve">women experience poorer </w:t>
      </w:r>
      <w:r w:rsidR="6678B2E2" w:rsidRPr="1A2349C6">
        <w:rPr>
          <w:rFonts w:ascii="Calibri" w:eastAsia="Calibri" w:hAnsi="Calibri" w:cs="Calibri"/>
          <w:color w:val="000000" w:themeColor="text1"/>
        </w:rPr>
        <w:t xml:space="preserve">access, treatment and </w:t>
      </w:r>
      <w:r w:rsidR="15A86EC9" w:rsidRPr="1A2349C6">
        <w:rPr>
          <w:rFonts w:ascii="Calibri" w:eastAsia="Calibri" w:hAnsi="Calibri" w:cs="Calibri"/>
          <w:color w:val="000000" w:themeColor="text1"/>
        </w:rPr>
        <w:t>outcomes in many areas of healthcare</w:t>
      </w:r>
      <w:r w:rsidR="5AD0DA4B" w:rsidRPr="1A2349C6">
        <w:rPr>
          <w:rFonts w:ascii="Calibri" w:eastAsia="Calibri" w:hAnsi="Calibri" w:cs="Calibri"/>
          <w:color w:val="000000" w:themeColor="text1"/>
        </w:rPr>
        <w:t xml:space="preserve">. </w:t>
      </w:r>
      <w:r w:rsidR="00402FF6">
        <w:rPr>
          <w:rFonts w:ascii="Calibri" w:eastAsia="Calibri" w:hAnsi="Calibri" w:cs="Calibri"/>
          <w:color w:val="000000" w:themeColor="text1"/>
        </w:rPr>
        <w:t>D</w:t>
      </w:r>
      <w:r w:rsidR="544D53FA" w:rsidRPr="1A2349C6">
        <w:rPr>
          <w:rFonts w:ascii="Calibri" w:eastAsia="Calibri" w:hAnsi="Calibri" w:cs="Calibri"/>
          <w:color w:val="000000" w:themeColor="text1"/>
        </w:rPr>
        <w:t xml:space="preserve">espite these inequalities, </w:t>
      </w:r>
      <w:r w:rsidR="00402FF6">
        <w:rPr>
          <w:rFonts w:ascii="Calibri" w:eastAsia="Calibri" w:hAnsi="Calibri" w:cs="Calibri"/>
          <w:color w:val="000000" w:themeColor="text1"/>
        </w:rPr>
        <w:t xml:space="preserve">however, </w:t>
      </w:r>
      <w:r w:rsidR="544D53FA" w:rsidRPr="1A2349C6">
        <w:rPr>
          <w:rFonts w:ascii="Calibri" w:eastAsia="Calibri" w:hAnsi="Calibri" w:cs="Calibri"/>
          <w:color w:val="000000" w:themeColor="text1"/>
        </w:rPr>
        <w:t>data on women’s use of health and social care services is lacking, especially at</w:t>
      </w:r>
      <w:r w:rsidR="78F9EC96" w:rsidRPr="1A2349C6">
        <w:rPr>
          <w:rFonts w:ascii="Calibri" w:eastAsia="Calibri" w:hAnsi="Calibri" w:cs="Calibri"/>
          <w:color w:val="000000" w:themeColor="text1"/>
        </w:rPr>
        <w:t xml:space="preserve"> </w:t>
      </w:r>
      <w:r w:rsidR="544D53FA" w:rsidRPr="1A2349C6">
        <w:rPr>
          <w:rFonts w:ascii="Calibri" w:eastAsia="Calibri" w:hAnsi="Calibri" w:cs="Calibri"/>
          <w:color w:val="000000" w:themeColor="text1"/>
        </w:rPr>
        <w:t>local level.</w:t>
      </w:r>
    </w:p>
    <w:p w14:paraId="1364E4A3" w14:textId="15D577D1" w:rsidR="4C4C4CA3" w:rsidRDefault="4C4C4CA3" w:rsidP="1A2349C6">
      <w:pPr>
        <w:rPr>
          <w:rFonts w:ascii="Calibri" w:eastAsia="Calibri" w:hAnsi="Calibri" w:cs="Calibri"/>
          <w:b/>
          <w:bCs/>
        </w:rPr>
      </w:pPr>
      <w:r w:rsidRPr="1A2349C6">
        <w:rPr>
          <w:rFonts w:ascii="Calibri" w:eastAsia="Calibri" w:hAnsi="Calibri" w:cs="Calibri"/>
          <w:b/>
          <w:bCs/>
        </w:rPr>
        <w:t>Race</w:t>
      </w:r>
      <w:r w:rsidR="00307D7F">
        <w:rPr>
          <w:rFonts w:ascii="Calibri" w:eastAsia="Calibri" w:hAnsi="Calibri" w:cs="Calibri"/>
          <w:b/>
          <w:bCs/>
        </w:rPr>
        <w:t xml:space="preserve"> and Ethnicity</w:t>
      </w:r>
    </w:p>
    <w:p w14:paraId="2A02C7D8" w14:textId="6A87F781" w:rsidR="282877CB" w:rsidRDefault="00023BA7" w:rsidP="1A2349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YOUR AREA</w:t>
      </w:r>
      <w:r w:rsidR="282877CB" w:rsidRPr="00BF12DE">
        <w:rPr>
          <w:rFonts w:ascii="Calibri" w:eastAsia="Calibri" w:hAnsi="Calibri" w:cs="Calibri"/>
          <w:highlight w:val="yellow"/>
        </w:rPr>
        <w:t>’</w:t>
      </w:r>
      <w:r>
        <w:rPr>
          <w:rFonts w:ascii="Calibri" w:eastAsia="Calibri" w:hAnsi="Calibri" w:cs="Calibri"/>
          <w:highlight w:val="yellow"/>
        </w:rPr>
        <w:t>S</w:t>
      </w:r>
      <w:r w:rsidR="282877CB" w:rsidRPr="00BF12DE">
        <w:rPr>
          <w:rFonts w:ascii="Calibri" w:eastAsia="Calibri" w:hAnsi="Calibri" w:cs="Calibri"/>
          <w:highlight w:val="yellow"/>
        </w:rPr>
        <w:t xml:space="preserve"> population is exceptionally and increasingly diverse, with 33% </w:t>
      </w:r>
      <w:r w:rsidR="282877CB" w:rsidRPr="00023BA7">
        <w:rPr>
          <w:rFonts w:ascii="Calibri" w:eastAsia="Calibri" w:hAnsi="Calibri" w:cs="Calibri"/>
        </w:rPr>
        <w:t>of people identifying as being from a Black and Minority</w:t>
      </w:r>
      <w:r w:rsidR="282877CB" w:rsidRPr="1A2349C6">
        <w:rPr>
          <w:rFonts w:ascii="Calibri" w:eastAsia="Calibri" w:hAnsi="Calibri" w:cs="Calibri"/>
        </w:rPr>
        <w:t xml:space="preserve"> </w:t>
      </w:r>
      <w:r w:rsidR="282877CB" w:rsidRPr="00BF12DE">
        <w:rPr>
          <w:rFonts w:ascii="Calibri" w:eastAsia="Calibri" w:hAnsi="Calibri" w:cs="Calibri"/>
          <w:highlight w:val="yellow"/>
        </w:rPr>
        <w:t>Ethnic (BME) background</w:t>
      </w:r>
      <w:r w:rsidR="282877CB" w:rsidRPr="1A2349C6">
        <w:rPr>
          <w:rFonts w:ascii="Calibri" w:eastAsia="Calibri" w:hAnsi="Calibri" w:cs="Calibri"/>
        </w:rPr>
        <w:t xml:space="preserve"> compared to 14.4% of people in England generally</w:t>
      </w:r>
      <w:r w:rsidR="00734319">
        <w:rPr>
          <w:rStyle w:val="FootnoteReference"/>
          <w:rFonts w:ascii="Calibri" w:eastAsia="Calibri" w:hAnsi="Calibri" w:cs="Calibri"/>
        </w:rPr>
        <w:footnoteReference w:id="12"/>
      </w:r>
      <w:r w:rsidR="282877CB" w:rsidRPr="1A2349C6">
        <w:rPr>
          <w:rFonts w:ascii="Calibri" w:eastAsia="Calibri" w:hAnsi="Calibri" w:cs="Calibri"/>
        </w:rPr>
        <w:t xml:space="preserve">. </w:t>
      </w:r>
      <w:r w:rsidR="749A7973" w:rsidRPr="1A2349C6">
        <w:rPr>
          <w:rFonts w:ascii="Calibri" w:eastAsia="Calibri" w:hAnsi="Calibri" w:cs="Calibri"/>
        </w:rPr>
        <w:t>Ethnic minority groups are more likely to be affected by socio-economic deprivation</w:t>
      </w:r>
      <w:r w:rsidR="007E6B56">
        <w:rPr>
          <w:rStyle w:val="FootnoteReference"/>
          <w:rFonts w:ascii="Calibri" w:eastAsia="Calibri" w:hAnsi="Calibri" w:cs="Calibri"/>
        </w:rPr>
        <w:footnoteReference w:id="13"/>
      </w:r>
      <w:r w:rsidR="749A7973" w:rsidRPr="1A2349C6">
        <w:rPr>
          <w:rFonts w:ascii="Calibri" w:eastAsia="Calibri" w:hAnsi="Calibri" w:cs="Calibri"/>
        </w:rPr>
        <w:t xml:space="preserve">, and as such they are more likely to </w:t>
      </w:r>
      <w:r w:rsidR="54D31342" w:rsidRPr="1A2349C6">
        <w:rPr>
          <w:rFonts w:ascii="Calibri" w:eastAsia="Calibri" w:hAnsi="Calibri" w:cs="Calibri"/>
        </w:rPr>
        <w:t xml:space="preserve">suffer poor health and to report poorer experiences using healthcare. Research across different ethnic groups, however, is lacking. </w:t>
      </w:r>
      <w:r w:rsidR="04F5C9F5" w:rsidRPr="1A2349C6">
        <w:rPr>
          <w:rFonts w:ascii="Calibri" w:eastAsia="Calibri" w:hAnsi="Calibri" w:cs="Calibri"/>
        </w:rPr>
        <w:t>Structural racism has been shown to reinforce inequalities in areas such as housing, crime and employment, which in turn has a negative effect on health</w:t>
      </w:r>
      <w:r w:rsidR="006B2F31">
        <w:rPr>
          <w:rStyle w:val="FootnoteReference"/>
          <w:rFonts w:ascii="Calibri" w:eastAsia="Calibri" w:hAnsi="Calibri" w:cs="Calibri"/>
        </w:rPr>
        <w:footnoteReference w:id="14"/>
      </w:r>
      <w:r w:rsidR="04F5C9F5" w:rsidRPr="1A2349C6">
        <w:rPr>
          <w:rFonts w:ascii="Calibri" w:eastAsia="Calibri" w:hAnsi="Calibri" w:cs="Calibri"/>
        </w:rPr>
        <w:t>.</w:t>
      </w:r>
    </w:p>
    <w:p w14:paraId="2AE55E57" w14:textId="6A03B006" w:rsidR="0708C6D6" w:rsidRPr="00B2724C" w:rsidRDefault="0708C6D6" w:rsidP="1A2349C6">
      <w:pPr>
        <w:rPr>
          <w:b/>
          <w:bCs/>
          <w:color w:val="3F1C5A"/>
          <w:sz w:val="24"/>
          <w:szCs w:val="24"/>
        </w:rPr>
      </w:pPr>
      <w:r w:rsidRPr="00B2724C">
        <w:rPr>
          <w:b/>
          <w:bCs/>
          <w:color w:val="3F1C5A"/>
          <w:sz w:val="24"/>
          <w:szCs w:val="24"/>
        </w:rPr>
        <w:t>Conclusi</w:t>
      </w:r>
      <w:r w:rsidR="65684657" w:rsidRPr="00B2724C">
        <w:rPr>
          <w:b/>
          <w:bCs/>
          <w:color w:val="3F1C5A"/>
          <w:sz w:val="24"/>
          <w:szCs w:val="24"/>
        </w:rPr>
        <w:t>on</w:t>
      </w:r>
    </w:p>
    <w:p w14:paraId="51C3C93F" w14:textId="70E79158" w:rsidR="4152BDA7" w:rsidRDefault="00023BA7" w:rsidP="1A2349C6">
      <w:r>
        <w:rPr>
          <w:highlight w:val="yellow"/>
        </w:rPr>
        <w:t>YOUR AREA</w:t>
      </w:r>
      <w:r w:rsidR="4152BDA7" w:rsidRPr="00BF12DE">
        <w:rPr>
          <w:highlight w:val="yellow"/>
        </w:rPr>
        <w:t xml:space="preserve"> performs poorly in </w:t>
      </w:r>
      <w:r w:rsidR="1AC2CBFE" w:rsidRPr="00BF12DE">
        <w:rPr>
          <w:highlight w:val="yellow"/>
        </w:rPr>
        <w:t>relation to other parts of England in key social determinants of health</w:t>
      </w:r>
      <w:r w:rsidR="1A6974C2" w:rsidRPr="00BF12DE">
        <w:rPr>
          <w:highlight w:val="yellow"/>
        </w:rPr>
        <w:t xml:space="preserve"> and there is wide variation</w:t>
      </w:r>
      <w:r w:rsidR="1DEEFAA3" w:rsidRPr="00BF12DE">
        <w:rPr>
          <w:highlight w:val="yellow"/>
        </w:rPr>
        <w:t xml:space="preserve"> in deprivation</w:t>
      </w:r>
      <w:r w:rsidR="1A6974C2" w:rsidRPr="00BF12DE">
        <w:rPr>
          <w:highlight w:val="yellow"/>
        </w:rPr>
        <w:t xml:space="preserve"> between different</w:t>
      </w:r>
      <w:r w:rsidR="00B5148B" w:rsidRPr="00BF12DE">
        <w:rPr>
          <w:highlight w:val="yellow"/>
        </w:rPr>
        <w:t xml:space="preserve"> parts</w:t>
      </w:r>
      <w:r w:rsidR="1A6974C2" w:rsidRPr="00BF12DE">
        <w:rPr>
          <w:highlight w:val="yellow"/>
        </w:rPr>
        <w:t xml:space="preserve"> of the city.</w:t>
      </w:r>
      <w:r w:rsidR="747359AE" w:rsidRPr="00BF12DE">
        <w:rPr>
          <w:highlight w:val="yellow"/>
        </w:rPr>
        <w:t xml:space="preserve"> Cross-sector work is crucial for reducing health inequalities across </w:t>
      </w:r>
      <w:r>
        <w:rPr>
          <w:highlight w:val="yellow"/>
        </w:rPr>
        <w:t>YOUR AREA</w:t>
      </w:r>
      <w:r w:rsidR="5C93DFD4" w:rsidRPr="00BF12DE">
        <w:rPr>
          <w:highlight w:val="yellow"/>
        </w:rPr>
        <w:t>.</w:t>
      </w:r>
      <w:r w:rsidR="399B0EAC" w:rsidRPr="00BF12DE">
        <w:rPr>
          <w:highlight w:val="yellow"/>
        </w:rPr>
        <w:t xml:space="preserve"> </w:t>
      </w:r>
      <w:r w:rsidR="0C94B65B" w:rsidRPr="00BF12DE">
        <w:rPr>
          <w:highlight w:val="yellow"/>
        </w:rPr>
        <w:t>Improved</w:t>
      </w:r>
      <w:r w:rsidR="399B0EAC" w:rsidRPr="00BF12DE">
        <w:rPr>
          <w:highlight w:val="yellow"/>
        </w:rPr>
        <w:t xml:space="preserve"> </w:t>
      </w:r>
      <w:r w:rsidR="00B5148B" w:rsidRPr="00BF12DE">
        <w:rPr>
          <w:highlight w:val="yellow"/>
        </w:rPr>
        <w:t xml:space="preserve">understanding of inequalities </w:t>
      </w:r>
      <w:r w:rsidR="399B0EAC" w:rsidRPr="00BF12DE">
        <w:rPr>
          <w:highlight w:val="yellow"/>
        </w:rPr>
        <w:t>is needed</w:t>
      </w:r>
      <w:r w:rsidR="63FC7DEE" w:rsidRPr="00BF12DE">
        <w:rPr>
          <w:highlight w:val="yellow"/>
        </w:rPr>
        <w:t xml:space="preserve"> at local level</w:t>
      </w:r>
      <w:r w:rsidR="399B0EAC" w:rsidRPr="00BF12DE">
        <w:rPr>
          <w:highlight w:val="yellow"/>
        </w:rPr>
        <w:t>, particularly between different minority ethnic groups</w:t>
      </w:r>
      <w:r w:rsidR="00792D8B" w:rsidRPr="00BF12DE">
        <w:rPr>
          <w:highlight w:val="yellow"/>
        </w:rPr>
        <w:t>, men and women,</w:t>
      </w:r>
      <w:r w:rsidR="399B0EAC" w:rsidRPr="00BF12DE">
        <w:rPr>
          <w:highlight w:val="yellow"/>
        </w:rPr>
        <w:t xml:space="preserve"> a</w:t>
      </w:r>
      <w:r w:rsidR="00792D8B" w:rsidRPr="00BF12DE">
        <w:rPr>
          <w:highlight w:val="yellow"/>
        </w:rPr>
        <w:t xml:space="preserve">nd </w:t>
      </w:r>
      <w:r w:rsidR="00B5148B" w:rsidRPr="00BF12DE">
        <w:rPr>
          <w:highlight w:val="yellow"/>
        </w:rPr>
        <w:t xml:space="preserve">inclusion groups particularly at risk of poor health such as those seeking </w:t>
      </w:r>
      <w:r w:rsidR="00670BF8" w:rsidRPr="00BF12DE">
        <w:rPr>
          <w:highlight w:val="yellow"/>
        </w:rPr>
        <w:t>a</w:t>
      </w:r>
      <w:r w:rsidR="00B5148B" w:rsidRPr="00BF12DE">
        <w:rPr>
          <w:highlight w:val="yellow"/>
        </w:rPr>
        <w:t>sylum and those in contact with the justice system</w:t>
      </w:r>
      <w:r w:rsidR="00402FF6" w:rsidRPr="00BF12DE">
        <w:rPr>
          <w:highlight w:val="yellow"/>
        </w:rPr>
        <w:t>.</w:t>
      </w:r>
    </w:p>
    <w:sectPr w:rsidR="4152BDA7" w:rsidSect="00B2724C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9907" w14:textId="77777777" w:rsidR="005F5A4A" w:rsidRDefault="005F5A4A">
      <w:pPr>
        <w:spacing w:after="0" w:line="240" w:lineRule="auto"/>
      </w:pPr>
      <w:r>
        <w:separator/>
      </w:r>
    </w:p>
  </w:endnote>
  <w:endnote w:type="continuationSeparator" w:id="0">
    <w:p w14:paraId="4C478328" w14:textId="77777777" w:rsidR="005F5A4A" w:rsidRDefault="005F5A4A">
      <w:pPr>
        <w:spacing w:after="0" w:line="240" w:lineRule="auto"/>
      </w:pPr>
      <w:r>
        <w:continuationSeparator/>
      </w:r>
    </w:p>
  </w:endnote>
  <w:endnote w:type="continuationNotice" w:id="1">
    <w:p w14:paraId="27FD76EA" w14:textId="77777777" w:rsidR="005F5A4A" w:rsidRDefault="005F5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676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C962F" w14:textId="0561E882" w:rsidR="00CA6B2B" w:rsidRDefault="00CA6B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1CD18" w14:textId="77777777" w:rsidR="00CA6B2B" w:rsidRDefault="00CA6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5580" w14:textId="77777777" w:rsidR="005F5A4A" w:rsidRDefault="005F5A4A">
      <w:pPr>
        <w:spacing w:after="0" w:line="240" w:lineRule="auto"/>
      </w:pPr>
      <w:r>
        <w:separator/>
      </w:r>
    </w:p>
  </w:footnote>
  <w:footnote w:type="continuationSeparator" w:id="0">
    <w:p w14:paraId="14108EC4" w14:textId="77777777" w:rsidR="005F5A4A" w:rsidRDefault="005F5A4A">
      <w:pPr>
        <w:spacing w:after="0" w:line="240" w:lineRule="auto"/>
      </w:pPr>
      <w:r>
        <w:continuationSeparator/>
      </w:r>
    </w:p>
  </w:footnote>
  <w:footnote w:type="continuationNotice" w:id="1">
    <w:p w14:paraId="240DAB97" w14:textId="77777777" w:rsidR="005F5A4A" w:rsidRDefault="005F5A4A">
      <w:pPr>
        <w:spacing w:after="0" w:line="240" w:lineRule="auto"/>
      </w:pPr>
    </w:p>
  </w:footnote>
  <w:footnote w:id="2">
    <w:p w14:paraId="526A7996" w14:textId="5B2693C6" w:rsidR="00406AE6" w:rsidRPr="00406AE6" w:rsidRDefault="00406AE6">
      <w:pPr>
        <w:pStyle w:val="FootnoteText"/>
        <w:rPr>
          <w:sz w:val="16"/>
          <w:szCs w:val="16"/>
        </w:rPr>
      </w:pPr>
      <w:r w:rsidRPr="00406AE6">
        <w:rPr>
          <w:rStyle w:val="FootnoteReference"/>
          <w:sz w:val="16"/>
          <w:szCs w:val="16"/>
        </w:rPr>
        <w:footnoteRef/>
      </w:r>
      <w:r w:rsidRPr="00406AE6">
        <w:rPr>
          <w:sz w:val="16"/>
          <w:szCs w:val="16"/>
        </w:rPr>
        <w:t xml:space="preserve"> World Health Organisation (Accessed Oct 2022) Social determinants of health (</w:t>
      </w:r>
      <w:hyperlink r:id="rId1" w:history="1">
        <w:r w:rsidRPr="00406AE6">
          <w:rPr>
            <w:rStyle w:val="Hyperlink"/>
            <w:sz w:val="16"/>
            <w:szCs w:val="16"/>
          </w:rPr>
          <w:t>https://bit.ly/3REfiYX</w:t>
        </w:r>
      </w:hyperlink>
      <w:r w:rsidRPr="00406AE6">
        <w:rPr>
          <w:sz w:val="16"/>
          <w:szCs w:val="16"/>
        </w:rPr>
        <w:t>)</w:t>
      </w:r>
    </w:p>
  </w:footnote>
  <w:footnote w:id="3">
    <w:p w14:paraId="5F8CBAA2" w14:textId="068E3CCE" w:rsidR="00792D8B" w:rsidRPr="009B2B05" w:rsidRDefault="00792D8B">
      <w:pPr>
        <w:pStyle w:val="FootnoteText"/>
        <w:rPr>
          <w:sz w:val="16"/>
          <w:szCs w:val="16"/>
        </w:rPr>
      </w:pPr>
      <w:r w:rsidRPr="009B2B05">
        <w:rPr>
          <w:rStyle w:val="FootnoteReference"/>
          <w:sz w:val="16"/>
          <w:szCs w:val="16"/>
        </w:rPr>
        <w:footnoteRef/>
      </w:r>
      <w:r w:rsidRPr="009B2B05">
        <w:rPr>
          <w:sz w:val="16"/>
          <w:szCs w:val="16"/>
        </w:rPr>
        <w:t xml:space="preserve"> </w:t>
      </w:r>
      <w:r w:rsidRPr="009B2B05">
        <w:rPr>
          <w:rFonts w:ascii="Calibri" w:eastAsia="Calibri" w:hAnsi="Calibri" w:cs="Calibri"/>
          <w:sz w:val="16"/>
          <w:szCs w:val="16"/>
        </w:rPr>
        <w:t>ONS (</w:t>
      </w:r>
      <w:r w:rsidR="004A1D7C">
        <w:rPr>
          <w:rFonts w:ascii="Calibri" w:eastAsia="Calibri" w:hAnsi="Calibri" w:cs="Calibri"/>
          <w:sz w:val="16"/>
          <w:szCs w:val="16"/>
        </w:rPr>
        <w:t>April 2022</w:t>
      </w:r>
      <w:r w:rsidRPr="009B2B05">
        <w:rPr>
          <w:rFonts w:ascii="Calibri" w:eastAsia="Calibri" w:hAnsi="Calibri" w:cs="Calibri"/>
          <w:sz w:val="16"/>
          <w:szCs w:val="16"/>
        </w:rPr>
        <w:t>) Health state life expectancies by national deprivation deciles, England</w:t>
      </w:r>
      <w:r w:rsidRPr="009B2B05">
        <w:rPr>
          <w:rStyle w:val="Hyperlink"/>
          <w:rFonts w:ascii="Calibri" w:eastAsia="Calibri" w:hAnsi="Calibri" w:cs="Calibri"/>
          <w:sz w:val="16"/>
          <w:szCs w:val="16"/>
        </w:rPr>
        <w:t xml:space="preserve"> (https://bit.ly/3ebvJ1m)</w:t>
      </w:r>
    </w:p>
  </w:footnote>
  <w:footnote w:id="4">
    <w:p w14:paraId="12E4605D" w14:textId="591D561D" w:rsidR="00D32E79" w:rsidRPr="00D32E79" w:rsidRDefault="00D32E79">
      <w:pPr>
        <w:pStyle w:val="FootnoteText"/>
        <w:rPr>
          <w:sz w:val="16"/>
          <w:szCs w:val="16"/>
        </w:rPr>
      </w:pPr>
      <w:r w:rsidRPr="00D32E79">
        <w:rPr>
          <w:rStyle w:val="FootnoteReference"/>
          <w:sz w:val="16"/>
          <w:szCs w:val="16"/>
        </w:rPr>
        <w:footnoteRef/>
      </w:r>
      <w:r w:rsidRPr="00D32E79">
        <w:rPr>
          <w:sz w:val="16"/>
          <w:szCs w:val="16"/>
        </w:rPr>
        <w:t xml:space="preserve"> </w:t>
      </w:r>
      <w:r w:rsidR="004A1D7C">
        <w:rPr>
          <w:sz w:val="16"/>
          <w:szCs w:val="16"/>
        </w:rPr>
        <w:t>Ibid.</w:t>
      </w:r>
    </w:p>
  </w:footnote>
  <w:footnote w:id="5">
    <w:p w14:paraId="62EB7F70" w14:textId="539D179C" w:rsidR="007476AB" w:rsidRPr="009B2B05" w:rsidRDefault="007476AB">
      <w:pPr>
        <w:pStyle w:val="FootnoteText"/>
        <w:rPr>
          <w:sz w:val="16"/>
          <w:szCs w:val="16"/>
        </w:rPr>
      </w:pPr>
      <w:r w:rsidRPr="009B2B05">
        <w:rPr>
          <w:rStyle w:val="FootnoteReference"/>
          <w:sz w:val="16"/>
          <w:szCs w:val="16"/>
        </w:rPr>
        <w:footnoteRef/>
      </w:r>
      <w:r w:rsidRPr="009B2B05">
        <w:rPr>
          <w:sz w:val="16"/>
          <w:szCs w:val="16"/>
        </w:rPr>
        <w:t xml:space="preserve"> </w:t>
      </w:r>
      <w:r w:rsidR="00406AE6" w:rsidRPr="009B2B05">
        <w:rPr>
          <w:sz w:val="16"/>
          <w:szCs w:val="16"/>
        </w:rPr>
        <w:t>Office for Health Improvement and Disparities (Accessed Oct 2022) Segment tool (</w:t>
      </w:r>
      <w:hyperlink r:id="rId2" w:history="1">
        <w:r w:rsidR="00406AE6" w:rsidRPr="009B2B05">
          <w:rPr>
            <w:rStyle w:val="Hyperlink"/>
            <w:sz w:val="16"/>
            <w:szCs w:val="16"/>
          </w:rPr>
          <w:t>https://bit.ly/3M9kMKn</w:t>
        </w:r>
      </w:hyperlink>
      <w:r w:rsidR="00406AE6" w:rsidRPr="009B2B05">
        <w:rPr>
          <w:sz w:val="16"/>
          <w:szCs w:val="16"/>
        </w:rPr>
        <w:t>)</w:t>
      </w:r>
    </w:p>
  </w:footnote>
  <w:footnote w:id="6">
    <w:p w14:paraId="3EF17100" w14:textId="0D462C3D" w:rsidR="1A2349C6" w:rsidRPr="009B2B05" w:rsidRDefault="1A2349C6" w:rsidP="1A2349C6">
      <w:pPr>
        <w:pStyle w:val="FootnoteText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9B2B05">
        <w:rPr>
          <w:rStyle w:val="FootnoteReference"/>
          <w:rFonts w:ascii="Calibri" w:eastAsia="Calibri" w:hAnsi="Calibri" w:cs="Calibri"/>
          <w:sz w:val="16"/>
          <w:szCs w:val="16"/>
        </w:rPr>
        <w:footnoteRef/>
      </w:r>
      <w:r w:rsidRPr="009B2B05">
        <w:rPr>
          <w:rFonts w:ascii="Calibri" w:eastAsia="Calibri" w:hAnsi="Calibri" w:cs="Calibri"/>
          <w:sz w:val="16"/>
          <w:szCs w:val="16"/>
        </w:rPr>
        <w:t xml:space="preserve"> </w:t>
      </w:r>
      <w:r w:rsidR="00402FF6" w:rsidRPr="009B2B05">
        <w:rPr>
          <w:sz w:val="16"/>
          <w:szCs w:val="16"/>
        </w:rPr>
        <w:t>Gov.uk (Accessed Oct 2022) Indices of Deprivation 2015 and 2019 (</w:t>
      </w:r>
      <w:hyperlink r:id="rId3" w:history="1">
        <w:r w:rsidR="00402FF6" w:rsidRPr="009B2B05">
          <w:rPr>
            <w:rStyle w:val="Hyperlink"/>
            <w:sz w:val="16"/>
            <w:szCs w:val="16"/>
          </w:rPr>
          <w:t>https://bit.ly/3ebx1JK</w:t>
        </w:r>
      </w:hyperlink>
      <w:r w:rsidR="00402FF6" w:rsidRPr="009B2B05">
        <w:rPr>
          <w:sz w:val="16"/>
          <w:szCs w:val="16"/>
        </w:rPr>
        <w:t>)</w:t>
      </w:r>
    </w:p>
  </w:footnote>
  <w:footnote w:id="7">
    <w:p w14:paraId="7AB49FE8" w14:textId="1A5BA5AA" w:rsidR="1A2349C6" w:rsidRPr="009B2B05" w:rsidRDefault="1A2349C6" w:rsidP="1A2349C6">
      <w:pPr>
        <w:pStyle w:val="FootnoteText"/>
        <w:rPr>
          <w:sz w:val="16"/>
          <w:szCs w:val="16"/>
        </w:rPr>
      </w:pPr>
      <w:r w:rsidRPr="009B2B05">
        <w:rPr>
          <w:rStyle w:val="FootnoteReference"/>
          <w:sz w:val="16"/>
          <w:szCs w:val="16"/>
        </w:rPr>
        <w:footnoteRef/>
      </w:r>
      <w:r w:rsidRPr="009B2B05">
        <w:rPr>
          <w:sz w:val="16"/>
          <w:szCs w:val="16"/>
        </w:rPr>
        <w:t xml:space="preserve"> </w:t>
      </w:r>
      <w:r w:rsidR="009B2B05" w:rsidRPr="009B2B05">
        <w:rPr>
          <w:sz w:val="16"/>
          <w:szCs w:val="16"/>
        </w:rPr>
        <w:t>Ibid.</w:t>
      </w:r>
    </w:p>
  </w:footnote>
  <w:footnote w:id="8">
    <w:p w14:paraId="15ACF5FB" w14:textId="37E7007E" w:rsidR="009240E5" w:rsidRPr="009B2B05" w:rsidRDefault="009240E5">
      <w:pPr>
        <w:pStyle w:val="FootnoteText"/>
        <w:rPr>
          <w:sz w:val="16"/>
          <w:szCs w:val="16"/>
        </w:rPr>
      </w:pPr>
      <w:r w:rsidRPr="009B2B05">
        <w:rPr>
          <w:rStyle w:val="FootnoteReference"/>
          <w:sz w:val="16"/>
          <w:szCs w:val="16"/>
        </w:rPr>
        <w:footnoteRef/>
      </w:r>
      <w:r w:rsidRPr="009B2B05">
        <w:rPr>
          <w:sz w:val="16"/>
          <w:szCs w:val="16"/>
        </w:rPr>
        <w:t xml:space="preserve"> </w:t>
      </w:r>
      <w:r w:rsidR="009B2B05" w:rsidRPr="009B2B05">
        <w:rPr>
          <w:sz w:val="16"/>
          <w:szCs w:val="16"/>
        </w:rPr>
        <w:t>ONS (Oct 2021) Earnings and hours worked, place of residence by local authority, ASHE table 8 (</w:t>
      </w:r>
      <w:hyperlink r:id="rId4" w:history="1">
        <w:r w:rsidR="009B2B05" w:rsidRPr="009B2B05">
          <w:rPr>
            <w:rStyle w:val="Hyperlink"/>
            <w:sz w:val="16"/>
            <w:szCs w:val="16"/>
          </w:rPr>
          <w:t>https://bit.ly/3EmfIAv</w:t>
        </w:r>
      </w:hyperlink>
      <w:r w:rsidR="009B2B05" w:rsidRPr="009B2B05">
        <w:rPr>
          <w:sz w:val="16"/>
          <w:szCs w:val="16"/>
        </w:rPr>
        <w:t>)</w:t>
      </w:r>
    </w:p>
  </w:footnote>
  <w:footnote w:id="9">
    <w:p w14:paraId="71E8BE06" w14:textId="73C46E96" w:rsidR="00734319" w:rsidRPr="000E41B4" w:rsidRDefault="00734319">
      <w:pPr>
        <w:pStyle w:val="FootnoteText"/>
        <w:rPr>
          <w:sz w:val="16"/>
          <w:szCs w:val="16"/>
        </w:rPr>
      </w:pPr>
      <w:r w:rsidRPr="000E41B4">
        <w:rPr>
          <w:rStyle w:val="FootnoteReference"/>
          <w:sz w:val="16"/>
          <w:szCs w:val="16"/>
        </w:rPr>
        <w:footnoteRef/>
      </w:r>
      <w:r w:rsidRPr="000E41B4">
        <w:rPr>
          <w:sz w:val="16"/>
          <w:szCs w:val="16"/>
        </w:rPr>
        <w:t xml:space="preserve"> ONS (Accessed Oct 2022) </w:t>
      </w:r>
      <w:r w:rsidR="0022496D">
        <w:rPr>
          <w:sz w:val="16"/>
          <w:szCs w:val="16"/>
        </w:rPr>
        <w:t xml:space="preserve">Local area </w:t>
      </w:r>
      <w:r w:rsidRPr="000E41B4">
        <w:rPr>
          <w:sz w:val="16"/>
          <w:szCs w:val="16"/>
        </w:rPr>
        <w:t>report – Nomis – official Census and labour market statistics (</w:t>
      </w:r>
      <w:hyperlink r:id="rId5" w:history="1">
        <w:r w:rsidR="0022496D" w:rsidRPr="00C655C0">
          <w:rPr>
            <w:rStyle w:val="Hyperlink"/>
            <w:sz w:val="16"/>
            <w:szCs w:val="16"/>
          </w:rPr>
          <w:t>www.nomisweb.co.uk</w:t>
        </w:r>
      </w:hyperlink>
      <w:r w:rsidRPr="000E41B4">
        <w:rPr>
          <w:sz w:val="16"/>
          <w:szCs w:val="16"/>
        </w:rPr>
        <w:t>)</w:t>
      </w:r>
    </w:p>
  </w:footnote>
  <w:footnote w:id="10">
    <w:p w14:paraId="6C5BB219" w14:textId="424B1435" w:rsidR="1A2349C6" w:rsidRPr="000E41B4" w:rsidRDefault="1A2349C6" w:rsidP="1A2349C6">
      <w:pPr>
        <w:pStyle w:val="FootnoteText"/>
        <w:rPr>
          <w:sz w:val="16"/>
          <w:szCs w:val="16"/>
        </w:rPr>
      </w:pPr>
      <w:r w:rsidRPr="000E41B4">
        <w:rPr>
          <w:rStyle w:val="FootnoteReference"/>
          <w:sz w:val="16"/>
          <w:szCs w:val="16"/>
        </w:rPr>
        <w:footnoteRef/>
      </w:r>
      <w:r w:rsidRPr="000E41B4">
        <w:rPr>
          <w:sz w:val="16"/>
          <w:szCs w:val="16"/>
        </w:rPr>
        <w:t xml:space="preserve"> </w:t>
      </w:r>
      <w:r w:rsidR="00EE0B89" w:rsidRPr="000E41B4">
        <w:rPr>
          <w:sz w:val="16"/>
          <w:szCs w:val="16"/>
        </w:rPr>
        <w:t>Bambra, C. (May 2022) Placing intersectional inequalities in health (</w:t>
      </w:r>
      <w:hyperlink r:id="rId6" w:history="1">
        <w:r w:rsidR="00EE0B89" w:rsidRPr="000E41B4">
          <w:rPr>
            <w:rStyle w:val="Hyperlink"/>
            <w:sz w:val="16"/>
            <w:szCs w:val="16"/>
          </w:rPr>
          <w:t>https://bit.ly/3yhfhU4</w:t>
        </w:r>
      </w:hyperlink>
      <w:r w:rsidR="00EE0B89" w:rsidRPr="000E41B4">
        <w:rPr>
          <w:sz w:val="16"/>
          <w:szCs w:val="16"/>
        </w:rPr>
        <w:t>)</w:t>
      </w:r>
    </w:p>
  </w:footnote>
  <w:footnote w:id="11">
    <w:p w14:paraId="318BC560" w14:textId="26273862" w:rsidR="1A2349C6" w:rsidRPr="000E41B4" w:rsidRDefault="1A2349C6" w:rsidP="1A2349C6">
      <w:pPr>
        <w:pStyle w:val="FootnoteText"/>
        <w:rPr>
          <w:sz w:val="16"/>
          <w:szCs w:val="16"/>
        </w:rPr>
      </w:pPr>
      <w:r w:rsidRPr="000E41B4">
        <w:rPr>
          <w:rStyle w:val="FootnoteReference"/>
          <w:sz w:val="16"/>
          <w:szCs w:val="16"/>
        </w:rPr>
        <w:footnoteRef/>
      </w:r>
      <w:r w:rsidRPr="000E41B4">
        <w:rPr>
          <w:sz w:val="16"/>
          <w:szCs w:val="16"/>
        </w:rPr>
        <w:t xml:space="preserve"> </w:t>
      </w:r>
      <w:r w:rsidR="0022496D">
        <w:rPr>
          <w:sz w:val="16"/>
          <w:szCs w:val="16"/>
        </w:rPr>
        <w:t>ONS</w:t>
      </w:r>
      <w:r w:rsidR="00734319" w:rsidRPr="000E41B4">
        <w:rPr>
          <w:sz w:val="16"/>
          <w:szCs w:val="16"/>
        </w:rPr>
        <w:t xml:space="preserve"> (</w:t>
      </w:r>
      <w:r w:rsidR="0022496D">
        <w:rPr>
          <w:sz w:val="16"/>
          <w:szCs w:val="16"/>
        </w:rPr>
        <w:t>Accessed Oct 2022</w:t>
      </w:r>
      <w:r w:rsidR="00734319" w:rsidRPr="000E41B4">
        <w:rPr>
          <w:sz w:val="16"/>
          <w:szCs w:val="16"/>
        </w:rPr>
        <w:t xml:space="preserve">) </w:t>
      </w:r>
      <w:r w:rsidR="0022496D">
        <w:rPr>
          <w:sz w:val="16"/>
          <w:szCs w:val="16"/>
        </w:rPr>
        <w:t>Local area report</w:t>
      </w:r>
      <w:r w:rsidR="0022496D" w:rsidRPr="000E41B4">
        <w:rPr>
          <w:sz w:val="16"/>
          <w:szCs w:val="16"/>
        </w:rPr>
        <w:t xml:space="preserve"> – Nomis – official Census and labour market statistics </w:t>
      </w:r>
      <w:r w:rsidR="0022496D" w:rsidRPr="0022496D">
        <w:rPr>
          <w:sz w:val="16"/>
          <w:szCs w:val="16"/>
        </w:rPr>
        <w:t>(</w:t>
      </w:r>
      <w:hyperlink r:id="rId7" w:history="1">
        <w:r w:rsidR="0022496D" w:rsidRPr="00C655C0">
          <w:rPr>
            <w:rStyle w:val="Hyperlink"/>
            <w:sz w:val="16"/>
            <w:szCs w:val="16"/>
          </w:rPr>
          <w:t>www.nomisweb.co.uk</w:t>
        </w:r>
      </w:hyperlink>
      <w:r w:rsidR="00734319" w:rsidRPr="0022496D">
        <w:rPr>
          <w:sz w:val="16"/>
          <w:szCs w:val="16"/>
        </w:rPr>
        <w:t>)</w:t>
      </w:r>
    </w:p>
  </w:footnote>
  <w:footnote w:id="12">
    <w:p w14:paraId="78F0F11B" w14:textId="7E8694B0" w:rsidR="00734319" w:rsidRPr="000E41B4" w:rsidRDefault="00734319">
      <w:pPr>
        <w:pStyle w:val="FootnoteText"/>
        <w:rPr>
          <w:sz w:val="16"/>
          <w:szCs w:val="16"/>
        </w:rPr>
      </w:pPr>
      <w:r w:rsidRPr="000E41B4">
        <w:rPr>
          <w:rStyle w:val="FootnoteReference"/>
          <w:sz w:val="16"/>
          <w:szCs w:val="16"/>
        </w:rPr>
        <w:footnoteRef/>
      </w:r>
      <w:r w:rsidRPr="000E41B4">
        <w:rPr>
          <w:sz w:val="16"/>
          <w:szCs w:val="16"/>
        </w:rPr>
        <w:t xml:space="preserve"> </w:t>
      </w:r>
      <w:r w:rsidR="0022496D">
        <w:rPr>
          <w:sz w:val="16"/>
          <w:szCs w:val="16"/>
        </w:rPr>
        <w:t>ONS</w:t>
      </w:r>
      <w:r w:rsidR="0022496D" w:rsidRPr="000E41B4">
        <w:rPr>
          <w:sz w:val="16"/>
          <w:szCs w:val="16"/>
        </w:rPr>
        <w:t xml:space="preserve"> (</w:t>
      </w:r>
      <w:r w:rsidR="0022496D">
        <w:rPr>
          <w:sz w:val="16"/>
          <w:szCs w:val="16"/>
        </w:rPr>
        <w:t>Accessed Oct 2022</w:t>
      </w:r>
      <w:r w:rsidR="0022496D" w:rsidRPr="000E41B4">
        <w:rPr>
          <w:sz w:val="16"/>
          <w:szCs w:val="16"/>
        </w:rPr>
        <w:t xml:space="preserve">) </w:t>
      </w:r>
      <w:r w:rsidR="0022496D">
        <w:rPr>
          <w:sz w:val="16"/>
          <w:szCs w:val="16"/>
        </w:rPr>
        <w:t>Local area report</w:t>
      </w:r>
      <w:r w:rsidR="0022496D" w:rsidRPr="000E41B4">
        <w:rPr>
          <w:sz w:val="16"/>
          <w:szCs w:val="16"/>
        </w:rPr>
        <w:t xml:space="preserve"> – Nomis – official Census and labour market statistics </w:t>
      </w:r>
      <w:r w:rsidR="0022496D" w:rsidRPr="0022496D">
        <w:rPr>
          <w:sz w:val="16"/>
          <w:szCs w:val="16"/>
        </w:rPr>
        <w:t>(</w:t>
      </w:r>
      <w:hyperlink r:id="rId8" w:history="1">
        <w:r w:rsidR="0022496D" w:rsidRPr="00C655C0">
          <w:rPr>
            <w:rStyle w:val="Hyperlink"/>
            <w:sz w:val="16"/>
            <w:szCs w:val="16"/>
          </w:rPr>
          <w:t>www.nomisweb.co.uk</w:t>
        </w:r>
      </w:hyperlink>
      <w:r w:rsidR="0022496D" w:rsidRPr="0022496D">
        <w:rPr>
          <w:sz w:val="16"/>
          <w:szCs w:val="16"/>
        </w:rPr>
        <w:t>)</w:t>
      </w:r>
    </w:p>
  </w:footnote>
  <w:footnote w:id="13">
    <w:p w14:paraId="1D7F7590" w14:textId="1AF51CF5" w:rsidR="007E6B56" w:rsidRPr="007E6B56" w:rsidRDefault="007E6B5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7E6B56">
        <w:rPr>
          <w:sz w:val="16"/>
          <w:szCs w:val="16"/>
        </w:rPr>
        <w:t>Gov.uk (May 2022) Income Distribution</w:t>
      </w:r>
      <w:r>
        <w:rPr>
          <w:sz w:val="16"/>
          <w:szCs w:val="16"/>
        </w:rPr>
        <w:t xml:space="preserve"> (</w:t>
      </w:r>
      <w:hyperlink r:id="rId9" w:history="1">
        <w:r w:rsidRPr="007E6B56">
          <w:rPr>
            <w:rStyle w:val="Hyperlink"/>
            <w:sz w:val="16"/>
            <w:szCs w:val="16"/>
          </w:rPr>
          <w:t>https://bit.ly/3SZ31zn)</w:t>
        </w:r>
      </w:hyperlink>
    </w:p>
  </w:footnote>
  <w:footnote w:id="14">
    <w:p w14:paraId="521DB80A" w14:textId="0342EA8C" w:rsidR="006B2F31" w:rsidRPr="006B2F31" w:rsidRDefault="006B2F31">
      <w:pPr>
        <w:pStyle w:val="FootnoteText"/>
        <w:rPr>
          <w:sz w:val="16"/>
          <w:szCs w:val="16"/>
        </w:rPr>
      </w:pPr>
      <w:r w:rsidRPr="006B2F31">
        <w:rPr>
          <w:rStyle w:val="FootnoteReference"/>
          <w:sz w:val="16"/>
          <w:szCs w:val="16"/>
        </w:rPr>
        <w:footnoteRef/>
      </w:r>
      <w:r w:rsidRPr="006B2F31">
        <w:rPr>
          <w:sz w:val="16"/>
          <w:szCs w:val="16"/>
        </w:rPr>
        <w:t xml:space="preserve"> BMJ (Jan 2021) Mitigating ethnic disparities in Covid-19 and beyond (</w:t>
      </w:r>
      <w:hyperlink r:id="rId10" w:history="1">
        <w:r w:rsidRPr="006B2F31">
          <w:rPr>
            <w:rStyle w:val="Hyperlink"/>
            <w:sz w:val="16"/>
            <w:szCs w:val="16"/>
          </w:rPr>
          <w:t>https://bit.ly/3T7ecpV</w:t>
        </w:r>
      </w:hyperlink>
      <w:r w:rsidRPr="006B2F31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474B" w14:textId="63178541" w:rsidR="00B2724C" w:rsidRDefault="00B2724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489E965" wp14:editId="5AF2030C">
          <wp:simplePos x="0" y="0"/>
          <wp:positionH relativeFrom="page">
            <wp:posOffset>4876800</wp:posOffset>
          </wp:positionH>
          <wp:positionV relativeFrom="topMargin">
            <wp:posOffset>291465</wp:posOffset>
          </wp:positionV>
          <wp:extent cx="1783080" cy="508865"/>
          <wp:effectExtent l="0" t="0" r="7620" b="5715"/>
          <wp:wrapNone/>
          <wp:docPr id="33" name="image2.png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2.png" descr="A picture containing text, sig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3080" cy="50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37372A" wp14:editId="04B7BC6E">
              <wp:simplePos x="0" y="0"/>
              <wp:positionH relativeFrom="column">
                <wp:posOffset>7620</wp:posOffset>
              </wp:positionH>
              <wp:positionV relativeFrom="paragraph">
                <wp:posOffset>-175260</wp:posOffset>
              </wp:positionV>
              <wp:extent cx="1455420" cy="518160"/>
              <wp:effectExtent l="0" t="0" r="1143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09622" w14:textId="5CFD211A" w:rsidR="00B2724C" w:rsidRDefault="00B2724C">
                          <w:r>
                            <w:t>Your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73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6pt;margin-top:-13.8pt;width:114.6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">
              <v:textbox>
                <w:txbxContent>
                  <w:p w14:paraId="75909622" w14:textId="5CFD211A" w:rsidR="00B2724C" w:rsidRDefault="00B2724C">
                    <w:r>
                      <w:t>Your logo here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AC5E81"/>
    <w:rsid w:val="00023BA7"/>
    <w:rsid w:val="000B483E"/>
    <w:rsid w:val="000C05FB"/>
    <w:rsid w:val="000E41B4"/>
    <w:rsid w:val="000E7596"/>
    <w:rsid w:val="00165FA3"/>
    <w:rsid w:val="001C36C9"/>
    <w:rsid w:val="00206A7A"/>
    <w:rsid w:val="0022496D"/>
    <w:rsid w:val="00250F4B"/>
    <w:rsid w:val="00274CB7"/>
    <w:rsid w:val="002E1036"/>
    <w:rsid w:val="00307D7F"/>
    <w:rsid w:val="00355216"/>
    <w:rsid w:val="003965DE"/>
    <w:rsid w:val="003A045B"/>
    <w:rsid w:val="003D6553"/>
    <w:rsid w:val="00402FF6"/>
    <w:rsid w:val="00406AE6"/>
    <w:rsid w:val="004A1D7C"/>
    <w:rsid w:val="004D6694"/>
    <w:rsid w:val="004E4CEE"/>
    <w:rsid w:val="004E5D6C"/>
    <w:rsid w:val="004F7AE6"/>
    <w:rsid w:val="00500ED0"/>
    <w:rsid w:val="005272F4"/>
    <w:rsid w:val="00583EF1"/>
    <w:rsid w:val="005F5A4A"/>
    <w:rsid w:val="0063502D"/>
    <w:rsid w:val="00665A26"/>
    <w:rsid w:val="00670BF8"/>
    <w:rsid w:val="00677318"/>
    <w:rsid w:val="006B2F31"/>
    <w:rsid w:val="006D3ABD"/>
    <w:rsid w:val="00734319"/>
    <w:rsid w:val="007476AB"/>
    <w:rsid w:val="00792D8B"/>
    <w:rsid w:val="007C4F35"/>
    <w:rsid w:val="007D111A"/>
    <w:rsid w:val="007E6B56"/>
    <w:rsid w:val="00807630"/>
    <w:rsid w:val="0080B493"/>
    <w:rsid w:val="009240E5"/>
    <w:rsid w:val="00927D91"/>
    <w:rsid w:val="0096CAF2"/>
    <w:rsid w:val="0099FDB3"/>
    <w:rsid w:val="009A6A99"/>
    <w:rsid w:val="009B2B05"/>
    <w:rsid w:val="00A3337E"/>
    <w:rsid w:val="00B2724C"/>
    <w:rsid w:val="00B5148B"/>
    <w:rsid w:val="00BCB73C"/>
    <w:rsid w:val="00BD18B3"/>
    <w:rsid w:val="00BF12DE"/>
    <w:rsid w:val="00C40AAC"/>
    <w:rsid w:val="00C750C6"/>
    <w:rsid w:val="00CA1D55"/>
    <w:rsid w:val="00CA6B2B"/>
    <w:rsid w:val="00D32E79"/>
    <w:rsid w:val="00EE0B89"/>
    <w:rsid w:val="00F24186"/>
    <w:rsid w:val="00FD12E3"/>
    <w:rsid w:val="0106A63D"/>
    <w:rsid w:val="01FCA927"/>
    <w:rsid w:val="021796F1"/>
    <w:rsid w:val="023E9964"/>
    <w:rsid w:val="026F9A11"/>
    <w:rsid w:val="029ABC0E"/>
    <w:rsid w:val="02DF7134"/>
    <w:rsid w:val="03214FED"/>
    <w:rsid w:val="03D3BDF1"/>
    <w:rsid w:val="04A6AB80"/>
    <w:rsid w:val="04AA0B56"/>
    <w:rsid w:val="04CFEA5C"/>
    <w:rsid w:val="04F5C9F5"/>
    <w:rsid w:val="05CBEA29"/>
    <w:rsid w:val="06B91A0D"/>
    <w:rsid w:val="06D1DFB7"/>
    <w:rsid w:val="06F67176"/>
    <w:rsid w:val="0708C6D6"/>
    <w:rsid w:val="07665569"/>
    <w:rsid w:val="07A9008E"/>
    <w:rsid w:val="07DC2CED"/>
    <w:rsid w:val="07FAE5A5"/>
    <w:rsid w:val="08178CD6"/>
    <w:rsid w:val="081E2825"/>
    <w:rsid w:val="082449E8"/>
    <w:rsid w:val="086DB018"/>
    <w:rsid w:val="08BE8FA1"/>
    <w:rsid w:val="08D84F57"/>
    <w:rsid w:val="09909171"/>
    <w:rsid w:val="09B0443E"/>
    <w:rsid w:val="09BA23E1"/>
    <w:rsid w:val="09F9D082"/>
    <w:rsid w:val="0A8B602B"/>
    <w:rsid w:val="0A92628A"/>
    <w:rsid w:val="0AD02A87"/>
    <w:rsid w:val="0ADB7BCE"/>
    <w:rsid w:val="0B1E49C9"/>
    <w:rsid w:val="0BA550DA"/>
    <w:rsid w:val="0C94B65B"/>
    <w:rsid w:val="0CF19948"/>
    <w:rsid w:val="0D1D7E05"/>
    <w:rsid w:val="0E146CDD"/>
    <w:rsid w:val="0E2548EE"/>
    <w:rsid w:val="0E2A9B2B"/>
    <w:rsid w:val="0EE09F9C"/>
    <w:rsid w:val="0EF37660"/>
    <w:rsid w:val="0F28285C"/>
    <w:rsid w:val="0F50F7F9"/>
    <w:rsid w:val="0F583EF1"/>
    <w:rsid w:val="0F8C11A1"/>
    <w:rsid w:val="10DA6D8B"/>
    <w:rsid w:val="11311D35"/>
    <w:rsid w:val="11DC1CE9"/>
    <w:rsid w:val="12378446"/>
    <w:rsid w:val="123B8080"/>
    <w:rsid w:val="13103351"/>
    <w:rsid w:val="1318C29A"/>
    <w:rsid w:val="1332A7DF"/>
    <w:rsid w:val="134CB4C8"/>
    <w:rsid w:val="1377ED4A"/>
    <w:rsid w:val="139688A7"/>
    <w:rsid w:val="14C25CD5"/>
    <w:rsid w:val="14F5053B"/>
    <w:rsid w:val="1552AA45"/>
    <w:rsid w:val="156F2508"/>
    <w:rsid w:val="15A86EC9"/>
    <w:rsid w:val="15ADDEAE"/>
    <w:rsid w:val="15C78075"/>
    <w:rsid w:val="1602BA46"/>
    <w:rsid w:val="1625D2FF"/>
    <w:rsid w:val="16C95879"/>
    <w:rsid w:val="17333A41"/>
    <w:rsid w:val="17F7748B"/>
    <w:rsid w:val="18A10CF2"/>
    <w:rsid w:val="19207086"/>
    <w:rsid w:val="194DC44C"/>
    <w:rsid w:val="19B24359"/>
    <w:rsid w:val="19DFB33C"/>
    <w:rsid w:val="1A1EF18D"/>
    <w:rsid w:val="1A2349C6"/>
    <w:rsid w:val="1A6974C2"/>
    <w:rsid w:val="1A7C4BEC"/>
    <w:rsid w:val="1AC2CBFE"/>
    <w:rsid w:val="1ADDA23A"/>
    <w:rsid w:val="1B2A7B1C"/>
    <w:rsid w:val="1B79FBFA"/>
    <w:rsid w:val="1C83BD06"/>
    <w:rsid w:val="1C9449CD"/>
    <w:rsid w:val="1CB35C4C"/>
    <w:rsid w:val="1D604FE0"/>
    <w:rsid w:val="1DC400E7"/>
    <w:rsid w:val="1DEEFAA3"/>
    <w:rsid w:val="1E11FE47"/>
    <w:rsid w:val="1E5016BE"/>
    <w:rsid w:val="1F2F2FAB"/>
    <w:rsid w:val="1F54C0F4"/>
    <w:rsid w:val="1FA25DA4"/>
    <w:rsid w:val="1FE3F218"/>
    <w:rsid w:val="204776B5"/>
    <w:rsid w:val="208E4748"/>
    <w:rsid w:val="211ED548"/>
    <w:rsid w:val="2163FDB2"/>
    <w:rsid w:val="21E41EF3"/>
    <w:rsid w:val="21FDF60F"/>
    <w:rsid w:val="223791B1"/>
    <w:rsid w:val="224DA810"/>
    <w:rsid w:val="225C4899"/>
    <w:rsid w:val="225EE2E7"/>
    <w:rsid w:val="2322A316"/>
    <w:rsid w:val="2339EDB7"/>
    <w:rsid w:val="237F1777"/>
    <w:rsid w:val="23E97871"/>
    <w:rsid w:val="24062B3B"/>
    <w:rsid w:val="2451992C"/>
    <w:rsid w:val="2481D407"/>
    <w:rsid w:val="24C0D5C9"/>
    <w:rsid w:val="24EAFF96"/>
    <w:rsid w:val="251BF50A"/>
    <w:rsid w:val="26235970"/>
    <w:rsid w:val="26790BC5"/>
    <w:rsid w:val="26B6B839"/>
    <w:rsid w:val="26EB2774"/>
    <w:rsid w:val="270EECD5"/>
    <w:rsid w:val="2767C05F"/>
    <w:rsid w:val="27B51EAB"/>
    <w:rsid w:val="27BC9BF7"/>
    <w:rsid w:val="27C68335"/>
    <w:rsid w:val="27FDA16F"/>
    <w:rsid w:val="282877CB"/>
    <w:rsid w:val="285B63E0"/>
    <w:rsid w:val="28AAA00A"/>
    <w:rsid w:val="295764A6"/>
    <w:rsid w:val="29CE03D6"/>
    <w:rsid w:val="2A3C6C85"/>
    <w:rsid w:val="2AE32920"/>
    <w:rsid w:val="2B3FEFF1"/>
    <w:rsid w:val="2B8B368E"/>
    <w:rsid w:val="2DFB600C"/>
    <w:rsid w:val="2E1E073B"/>
    <w:rsid w:val="2E3252BF"/>
    <w:rsid w:val="2E401571"/>
    <w:rsid w:val="2E6E280E"/>
    <w:rsid w:val="2FA6344D"/>
    <w:rsid w:val="2FAEA628"/>
    <w:rsid w:val="2FB9D79C"/>
    <w:rsid w:val="30268EDE"/>
    <w:rsid w:val="30CCAFEA"/>
    <w:rsid w:val="320A65E7"/>
    <w:rsid w:val="3388306A"/>
    <w:rsid w:val="342D6E9E"/>
    <w:rsid w:val="34590D75"/>
    <w:rsid w:val="355DF520"/>
    <w:rsid w:val="35BC320D"/>
    <w:rsid w:val="35C46CED"/>
    <w:rsid w:val="36BE3454"/>
    <w:rsid w:val="36DAC084"/>
    <w:rsid w:val="36EE3F67"/>
    <w:rsid w:val="37025D88"/>
    <w:rsid w:val="37111341"/>
    <w:rsid w:val="3772FBCB"/>
    <w:rsid w:val="37BFF89E"/>
    <w:rsid w:val="38114DC9"/>
    <w:rsid w:val="3820781C"/>
    <w:rsid w:val="384B2DE9"/>
    <w:rsid w:val="3974F4A9"/>
    <w:rsid w:val="399B0EAC"/>
    <w:rsid w:val="39FEF929"/>
    <w:rsid w:val="3AD53E4B"/>
    <w:rsid w:val="3AF6DDF7"/>
    <w:rsid w:val="3AF82ED8"/>
    <w:rsid w:val="3B4ECA92"/>
    <w:rsid w:val="3B5CEDC8"/>
    <w:rsid w:val="3B69851E"/>
    <w:rsid w:val="3B901F81"/>
    <w:rsid w:val="3BA9C148"/>
    <w:rsid w:val="3BD4A96E"/>
    <w:rsid w:val="3C1AE6FE"/>
    <w:rsid w:val="3CBFF6A1"/>
    <w:rsid w:val="3D27B20A"/>
    <w:rsid w:val="3D35EFA9"/>
    <w:rsid w:val="3D39C1C2"/>
    <w:rsid w:val="3DE23D4F"/>
    <w:rsid w:val="3E866B54"/>
    <w:rsid w:val="40C9BF59"/>
    <w:rsid w:val="40DB84F5"/>
    <w:rsid w:val="40DC32F2"/>
    <w:rsid w:val="414B8D49"/>
    <w:rsid w:val="4152BDA7"/>
    <w:rsid w:val="41C0A75F"/>
    <w:rsid w:val="41EB0CF5"/>
    <w:rsid w:val="41FB232D"/>
    <w:rsid w:val="4291077D"/>
    <w:rsid w:val="429AEE61"/>
    <w:rsid w:val="42D5D7E1"/>
    <w:rsid w:val="42E96A8A"/>
    <w:rsid w:val="43F2CAF3"/>
    <w:rsid w:val="44E03889"/>
    <w:rsid w:val="450B0AFC"/>
    <w:rsid w:val="451D42ED"/>
    <w:rsid w:val="454B788F"/>
    <w:rsid w:val="4595B1CA"/>
    <w:rsid w:val="45C9192C"/>
    <w:rsid w:val="45D426D7"/>
    <w:rsid w:val="45ED4F34"/>
    <w:rsid w:val="4612F7A3"/>
    <w:rsid w:val="46A19ECB"/>
    <w:rsid w:val="46B162C4"/>
    <w:rsid w:val="46D2D228"/>
    <w:rsid w:val="47125C4F"/>
    <w:rsid w:val="4720BC06"/>
    <w:rsid w:val="4821EFEC"/>
    <w:rsid w:val="482FE8E3"/>
    <w:rsid w:val="4842ABBE"/>
    <w:rsid w:val="48A9B995"/>
    <w:rsid w:val="4905C8B4"/>
    <w:rsid w:val="493B76C5"/>
    <w:rsid w:val="494F7568"/>
    <w:rsid w:val="499084E1"/>
    <w:rsid w:val="49AC5E81"/>
    <w:rsid w:val="49B31D02"/>
    <w:rsid w:val="49CBB944"/>
    <w:rsid w:val="4A66C553"/>
    <w:rsid w:val="4AA19915"/>
    <w:rsid w:val="4AD3C5AE"/>
    <w:rsid w:val="4B6789A5"/>
    <w:rsid w:val="4BA0DFFB"/>
    <w:rsid w:val="4BB54C4D"/>
    <w:rsid w:val="4BD4403E"/>
    <w:rsid w:val="4C43685B"/>
    <w:rsid w:val="4C4C4CA3"/>
    <w:rsid w:val="4C4EC0C3"/>
    <w:rsid w:val="4C8D2740"/>
    <w:rsid w:val="4CF26ACD"/>
    <w:rsid w:val="4D009D33"/>
    <w:rsid w:val="4D115962"/>
    <w:rsid w:val="4D66CA94"/>
    <w:rsid w:val="4EDDE40D"/>
    <w:rsid w:val="4FA0B18C"/>
    <w:rsid w:val="4FED78BF"/>
    <w:rsid w:val="503D8807"/>
    <w:rsid w:val="5110DA99"/>
    <w:rsid w:val="512D4FFA"/>
    <w:rsid w:val="51623B6F"/>
    <w:rsid w:val="51F8843C"/>
    <w:rsid w:val="521584CF"/>
    <w:rsid w:val="52F3BDA4"/>
    <w:rsid w:val="5377EFC6"/>
    <w:rsid w:val="537E1C8F"/>
    <w:rsid w:val="5401FFEB"/>
    <w:rsid w:val="544D53FA"/>
    <w:rsid w:val="546A58DE"/>
    <w:rsid w:val="548AE294"/>
    <w:rsid w:val="54D31342"/>
    <w:rsid w:val="551D8866"/>
    <w:rsid w:val="55423D33"/>
    <w:rsid w:val="55CC4378"/>
    <w:rsid w:val="55FD664C"/>
    <w:rsid w:val="560CADF9"/>
    <w:rsid w:val="560FEA93"/>
    <w:rsid w:val="568DEEDC"/>
    <w:rsid w:val="5746F730"/>
    <w:rsid w:val="574AB1E3"/>
    <w:rsid w:val="57DD324F"/>
    <w:rsid w:val="5948EC1B"/>
    <w:rsid w:val="59E15637"/>
    <w:rsid w:val="5A7C5820"/>
    <w:rsid w:val="5AAE6C42"/>
    <w:rsid w:val="5AD0DA4B"/>
    <w:rsid w:val="5ADC5D9C"/>
    <w:rsid w:val="5AE4BC7C"/>
    <w:rsid w:val="5AFA2418"/>
    <w:rsid w:val="5B3D9883"/>
    <w:rsid w:val="5B500CE2"/>
    <w:rsid w:val="5B863E25"/>
    <w:rsid w:val="5BBF5712"/>
    <w:rsid w:val="5C182881"/>
    <w:rsid w:val="5C676480"/>
    <w:rsid w:val="5C808CDD"/>
    <w:rsid w:val="5C93DFD4"/>
    <w:rsid w:val="5CCE17C2"/>
    <w:rsid w:val="5D95E3EA"/>
    <w:rsid w:val="5E31C4DA"/>
    <w:rsid w:val="5F370DC1"/>
    <w:rsid w:val="5FC7D4DF"/>
    <w:rsid w:val="60E036CE"/>
    <w:rsid w:val="610CD9DA"/>
    <w:rsid w:val="6153FE00"/>
    <w:rsid w:val="616A72CE"/>
    <w:rsid w:val="6200AEE8"/>
    <w:rsid w:val="6247C0F3"/>
    <w:rsid w:val="626CC43C"/>
    <w:rsid w:val="6276A898"/>
    <w:rsid w:val="633F39C1"/>
    <w:rsid w:val="63523599"/>
    <w:rsid w:val="63C47E22"/>
    <w:rsid w:val="63FBA451"/>
    <w:rsid w:val="63FC7DEE"/>
    <w:rsid w:val="640270E0"/>
    <w:rsid w:val="640CA2BA"/>
    <w:rsid w:val="641278F9"/>
    <w:rsid w:val="65684657"/>
    <w:rsid w:val="65B0ABD5"/>
    <w:rsid w:val="65D57353"/>
    <w:rsid w:val="660D5A93"/>
    <w:rsid w:val="66674B06"/>
    <w:rsid w:val="6678B2E2"/>
    <w:rsid w:val="671BA155"/>
    <w:rsid w:val="67266AF2"/>
    <w:rsid w:val="6740355F"/>
    <w:rsid w:val="674A314E"/>
    <w:rsid w:val="6771C7CC"/>
    <w:rsid w:val="6771D572"/>
    <w:rsid w:val="67BB0775"/>
    <w:rsid w:val="68527B8F"/>
    <w:rsid w:val="686FF06C"/>
    <w:rsid w:val="68A49C3F"/>
    <w:rsid w:val="6952667A"/>
    <w:rsid w:val="69537DD7"/>
    <w:rsid w:val="6956732F"/>
    <w:rsid w:val="69A50D8B"/>
    <w:rsid w:val="6A690744"/>
    <w:rsid w:val="6ABC850F"/>
    <w:rsid w:val="6AE1B7E9"/>
    <w:rsid w:val="6C0CB51F"/>
    <w:rsid w:val="6C8B1E99"/>
    <w:rsid w:val="6CBBF075"/>
    <w:rsid w:val="6D1949EF"/>
    <w:rsid w:val="6D31E97D"/>
    <w:rsid w:val="6DD40A24"/>
    <w:rsid w:val="6F190F51"/>
    <w:rsid w:val="6F2190B2"/>
    <w:rsid w:val="6F22833A"/>
    <w:rsid w:val="6FA60C91"/>
    <w:rsid w:val="6FAB5ECE"/>
    <w:rsid w:val="6FE81F1A"/>
    <w:rsid w:val="70133A7B"/>
    <w:rsid w:val="70253FCA"/>
    <w:rsid w:val="704D9F2D"/>
    <w:rsid w:val="7086A922"/>
    <w:rsid w:val="70A3012A"/>
    <w:rsid w:val="70E61038"/>
    <w:rsid w:val="710D2448"/>
    <w:rsid w:val="7175AE3A"/>
    <w:rsid w:val="71FDAA55"/>
    <w:rsid w:val="7224117A"/>
    <w:rsid w:val="7225A92E"/>
    <w:rsid w:val="72305EBB"/>
    <w:rsid w:val="7288845F"/>
    <w:rsid w:val="732016A7"/>
    <w:rsid w:val="73495E71"/>
    <w:rsid w:val="7378B0E8"/>
    <w:rsid w:val="739BA082"/>
    <w:rsid w:val="73D17046"/>
    <w:rsid w:val="744CD7B6"/>
    <w:rsid w:val="747359AE"/>
    <w:rsid w:val="749A7973"/>
    <w:rsid w:val="757FA5B5"/>
    <w:rsid w:val="76432078"/>
    <w:rsid w:val="76B18834"/>
    <w:rsid w:val="7700B333"/>
    <w:rsid w:val="7797F619"/>
    <w:rsid w:val="77A1D145"/>
    <w:rsid w:val="77C82877"/>
    <w:rsid w:val="77DA5F6D"/>
    <w:rsid w:val="77F4897C"/>
    <w:rsid w:val="78147E19"/>
    <w:rsid w:val="78F9EC96"/>
    <w:rsid w:val="795EC037"/>
    <w:rsid w:val="7A1DE85F"/>
    <w:rsid w:val="7ADA52F9"/>
    <w:rsid w:val="7C152046"/>
    <w:rsid w:val="7CADD090"/>
    <w:rsid w:val="7D0064E1"/>
    <w:rsid w:val="7D0464E2"/>
    <w:rsid w:val="7D341014"/>
    <w:rsid w:val="7D685BD5"/>
    <w:rsid w:val="7D89A4AE"/>
    <w:rsid w:val="7E0C4C04"/>
    <w:rsid w:val="7E0F2523"/>
    <w:rsid w:val="7F4CC108"/>
    <w:rsid w:val="7F54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C5E81"/>
  <w15:chartTrackingRefBased/>
  <w15:docId w15:val="{A12BD606-3C6F-44A4-977D-A7564E71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E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BD"/>
  </w:style>
  <w:style w:type="paragraph" w:styleId="Footer">
    <w:name w:val="footer"/>
    <w:basedOn w:val="Normal"/>
    <w:link w:val="FooterChar"/>
    <w:uiPriority w:val="99"/>
    <w:unhideWhenUsed/>
    <w:rsid w:val="006D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BD"/>
  </w:style>
  <w:style w:type="character" w:styleId="FollowedHyperlink">
    <w:name w:val="FollowedHyperlink"/>
    <w:basedOn w:val="DefaultParagraphFont"/>
    <w:uiPriority w:val="99"/>
    <w:semiHidden/>
    <w:unhideWhenUsed/>
    <w:rsid w:val="00C75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isweb.co.uk" TargetMode="External"/><Relationship Id="rId3" Type="http://schemas.openxmlformats.org/officeDocument/2006/relationships/hyperlink" Target="https://bit.ly/3ebx1JK" TargetMode="External"/><Relationship Id="rId7" Type="http://schemas.openxmlformats.org/officeDocument/2006/relationships/hyperlink" Target="http://www.nomisweb.co.uk" TargetMode="External"/><Relationship Id="rId2" Type="http://schemas.openxmlformats.org/officeDocument/2006/relationships/hyperlink" Target="https://bit.ly/3M9kMKn" TargetMode="External"/><Relationship Id="rId1" Type="http://schemas.openxmlformats.org/officeDocument/2006/relationships/hyperlink" Target="https://bit.ly/3REfiYX" TargetMode="External"/><Relationship Id="rId6" Type="http://schemas.openxmlformats.org/officeDocument/2006/relationships/hyperlink" Target="https://bit.ly/3yhfhU4" TargetMode="External"/><Relationship Id="rId5" Type="http://schemas.openxmlformats.org/officeDocument/2006/relationships/hyperlink" Target="http://www.nomisweb.co.uk" TargetMode="External"/><Relationship Id="rId10" Type="http://schemas.openxmlformats.org/officeDocument/2006/relationships/hyperlink" Target="https://bit.ly/3T7ecpV" TargetMode="External"/><Relationship Id="rId4" Type="http://schemas.openxmlformats.org/officeDocument/2006/relationships/hyperlink" Target="https://bit.ly/3EmfIAv" TargetMode="External"/><Relationship Id="rId9" Type="http://schemas.openxmlformats.org/officeDocument/2006/relationships/hyperlink" Target="https://bit.ly/3SZ31zn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9076-6C70-4272-9499-5DC4748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Links>
    <vt:vector size="18" baseType="variant">
      <vt:variant>
        <vt:i4>4849739</vt:i4>
      </vt:variant>
      <vt:variant>
        <vt:i4>6</vt:i4>
      </vt:variant>
      <vt:variant>
        <vt:i4>0</vt:i4>
      </vt:variant>
      <vt:variant>
        <vt:i4>5</vt:i4>
      </vt:variant>
      <vt:variant>
        <vt:lpwstr>https://edemocracy.coventry.gov.uk/documents/s44451/Appendix 1 - Coventry Health and Wellbeing Strategy 2019-23 - JSNA 2019 Citywide Profile.pdf</vt:lpwstr>
      </vt:variant>
      <vt:variant>
        <vt:lpwstr/>
      </vt:variant>
      <vt:variant>
        <vt:i4>1376366</vt:i4>
      </vt:variant>
      <vt:variant>
        <vt:i4>3</vt:i4>
      </vt:variant>
      <vt:variant>
        <vt:i4>0</vt:i4>
      </vt:variant>
      <vt:variant>
        <vt:i4>5</vt:i4>
      </vt:variant>
      <vt:variant>
        <vt:lpwstr>http://dclgapps.communities.gov.uk/imd/iod_index.html</vt:lpwstr>
      </vt:variant>
      <vt:variant>
        <vt:lpwstr/>
      </vt:variant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https://www.ons.gov.uk/peoplepopulationandcommunity/healthandsocialcare/healthinequalities/bulletins/healthstatelifeexpectanciesbyindexofmultipledeprivationimd/2017to2019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Thackray</dc:creator>
  <cp:keywords/>
  <dc:description/>
  <cp:lastModifiedBy>Emma Thackray</cp:lastModifiedBy>
  <cp:revision>2</cp:revision>
  <dcterms:created xsi:type="dcterms:W3CDTF">2022-11-15T11:22:00Z</dcterms:created>
  <dcterms:modified xsi:type="dcterms:W3CDTF">2022-11-15T11:22:00Z</dcterms:modified>
</cp:coreProperties>
</file>