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43B1" w14:textId="77777777" w:rsidR="006E098A" w:rsidRPr="00446AAE" w:rsidRDefault="006E098A" w:rsidP="006E098A">
      <w:pPr>
        <w:rPr>
          <w:b/>
          <w:bCs/>
          <w:sz w:val="36"/>
          <w:szCs w:val="36"/>
        </w:rPr>
      </w:pPr>
      <w:r w:rsidRPr="00446AAE">
        <w:rPr>
          <w:b/>
          <w:bCs/>
          <w:sz w:val="36"/>
          <w:szCs w:val="36"/>
        </w:rPr>
        <w:t>Access to childcare in Great Britain</w:t>
      </w:r>
    </w:p>
    <w:p w14:paraId="7EE2AA79" w14:textId="77777777" w:rsidR="006E098A" w:rsidRDefault="006E098A" w:rsidP="006E098A">
      <w:r>
        <w:rPr>
          <w:noProof/>
        </w:rPr>
        <mc:AlternateContent>
          <mc:Choice Requires="wps">
            <w:drawing>
              <wp:anchor distT="0" distB="0" distL="114300" distR="114300" simplePos="0" relativeHeight="251659264" behindDoc="0" locked="0" layoutInCell="1" allowOverlap="1" wp14:anchorId="517D65D0" wp14:editId="0E533E2F">
                <wp:simplePos x="0" y="0"/>
                <wp:positionH relativeFrom="column">
                  <wp:posOffset>-120650</wp:posOffset>
                </wp:positionH>
                <wp:positionV relativeFrom="paragraph">
                  <wp:posOffset>114935</wp:posOffset>
                </wp:positionV>
                <wp:extent cx="6121400" cy="81788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6121400" cy="8178800"/>
                        </a:xfrm>
                        <a:prstGeom prst="rect">
                          <a:avLst/>
                        </a:prstGeom>
                        <a:solidFill>
                          <a:schemeClr val="lt1"/>
                        </a:solidFill>
                        <a:ln w="6350">
                          <a:solidFill>
                            <a:prstClr val="black"/>
                          </a:solidFill>
                        </a:ln>
                      </wps:spPr>
                      <wps:txbx>
                        <w:txbxContent>
                          <w:p w14:paraId="4B7D94EC" w14:textId="77777777" w:rsidR="006E098A" w:rsidRDefault="006E098A" w:rsidP="006E098A">
                            <w:r w:rsidRPr="009377B9">
                              <w:t xml:space="preserve">Childcare is the single most important driver of the gender pay and labour market participation gap. The current childcare system in the UK is expensive and formal provision is patchy. </w:t>
                            </w:r>
                          </w:p>
                          <w:p w14:paraId="2BC71221" w14:textId="77777777" w:rsidR="006E098A" w:rsidRDefault="006E098A" w:rsidP="006E098A"/>
                          <w:p w14:paraId="0F0F4127" w14:textId="77777777" w:rsidR="006E098A" w:rsidRPr="00446AAE" w:rsidRDefault="006E098A" w:rsidP="006E098A">
                            <w:pPr>
                              <w:shd w:val="clear" w:color="auto" w:fill="D9E2F3" w:themeFill="accent1" w:themeFillTint="33"/>
                              <w:rPr>
                                <w:b/>
                                <w:bCs/>
                                <w:sz w:val="32"/>
                                <w:szCs w:val="32"/>
                              </w:rPr>
                            </w:pPr>
                            <w:r w:rsidRPr="00446AAE">
                              <w:rPr>
                                <w:b/>
                                <w:bCs/>
                                <w:sz w:val="32"/>
                                <w:szCs w:val="32"/>
                              </w:rPr>
                              <w:t>Availability</w:t>
                            </w:r>
                          </w:p>
                          <w:p w14:paraId="57431B61" w14:textId="77777777" w:rsidR="006E098A" w:rsidRDefault="006E098A" w:rsidP="006E098A"/>
                          <w:p w14:paraId="447E4A81" w14:textId="032DBB31" w:rsidR="006E098A" w:rsidRDefault="006E098A" w:rsidP="006E098A">
                            <w:r w:rsidRPr="009377B9">
                              <w:t xml:space="preserve">Across Great Britain, the level of childcare available varies by region and the type of childcare required, heavily depending on the age of the child. For example, in </w:t>
                            </w:r>
                            <w:r w:rsidR="008E09DD">
                              <w:t>[</w:t>
                            </w:r>
                            <w:r w:rsidRPr="006E098A">
                              <w:rPr>
                                <w:highlight w:val="yellow"/>
                              </w:rPr>
                              <w:t>England</w:t>
                            </w:r>
                            <w:r w:rsidR="008E09DD">
                              <w:t>]</w:t>
                            </w:r>
                            <w:r w:rsidRPr="009377B9">
                              <w:t xml:space="preserve">, </w:t>
                            </w:r>
                            <w:r w:rsidR="008E09DD">
                              <w:t>[</w:t>
                            </w:r>
                            <w:r w:rsidRPr="006E098A">
                              <w:rPr>
                                <w:highlight w:val="yellow"/>
                              </w:rPr>
                              <w:t>72%</w:t>
                            </w:r>
                            <w:r w:rsidR="008E09DD">
                              <w:t>]</w:t>
                            </w:r>
                            <w:r w:rsidRPr="009377B9">
                              <w:t xml:space="preserve"> of local authorities report that there is enough childcare for children under two, and in </w:t>
                            </w:r>
                            <w:r w:rsidR="008E09DD">
                              <w:t>[</w:t>
                            </w:r>
                            <w:r w:rsidRPr="006E098A">
                              <w:rPr>
                                <w:highlight w:val="yellow"/>
                              </w:rPr>
                              <w:t>Scotland</w:t>
                            </w:r>
                            <w:r w:rsidR="008E09DD">
                              <w:t>]</w:t>
                            </w:r>
                            <w:r w:rsidRPr="009377B9">
                              <w:t xml:space="preserve"> </w:t>
                            </w:r>
                            <w:r w:rsidR="008E09DD">
                              <w:t>[</w:t>
                            </w:r>
                            <w:r w:rsidRPr="006E098A">
                              <w:rPr>
                                <w:highlight w:val="yellow"/>
                              </w:rPr>
                              <w:t>81%</w:t>
                            </w:r>
                            <w:r w:rsidR="008E09DD">
                              <w:t>]</w:t>
                            </w:r>
                            <w:r w:rsidRPr="009377B9">
                              <w:t xml:space="preserve"> of local authorities have enough free-entitlement childcare for </w:t>
                            </w:r>
                            <w:proofErr w:type="gramStart"/>
                            <w:r w:rsidRPr="009377B9">
                              <w:t>3-4 year olds</w:t>
                            </w:r>
                            <w:proofErr w:type="gramEnd"/>
                            <w:r w:rsidRPr="009377B9">
                              <w:t xml:space="preserve">, but things are much harder for the parents of disabled children with only </w:t>
                            </w:r>
                            <w:r w:rsidR="002A2E6B">
                              <w:t>[</w:t>
                            </w:r>
                            <w:r w:rsidRPr="002A2E6B">
                              <w:rPr>
                                <w:highlight w:val="yellow"/>
                              </w:rPr>
                              <w:t>25%</w:t>
                            </w:r>
                            <w:r w:rsidR="002A2E6B">
                              <w:t>]</w:t>
                            </w:r>
                            <w:r w:rsidRPr="009377B9">
                              <w:t xml:space="preserve"> of local authorities reporting sufficient childcare for disabled children. </w:t>
                            </w:r>
                            <w:r w:rsidR="008E09DD">
                              <w:t>[</w:t>
                            </w:r>
                            <w:r w:rsidRPr="00862BFD">
                              <w:rPr>
                                <w:highlight w:val="yellow"/>
                              </w:rPr>
                              <w:t>41%</w:t>
                            </w:r>
                            <w:r w:rsidR="008E09DD">
                              <w:t>]</w:t>
                            </w:r>
                            <w:r w:rsidRPr="009377B9">
                              <w:t xml:space="preserve"> of local authorities in </w:t>
                            </w:r>
                            <w:r w:rsidR="008E09DD">
                              <w:t>[</w:t>
                            </w:r>
                            <w:r w:rsidRPr="00862BFD">
                              <w:rPr>
                                <w:highlight w:val="yellow"/>
                              </w:rPr>
                              <w:t>Wales</w:t>
                            </w:r>
                            <w:r w:rsidR="008E09DD">
                              <w:t>]</w:t>
                            </w:r>
                            <w:r w:rsidRPr="009377B9">
                              <w:t xml:space="preserve"> also report that that there is not enough childcare for children of parents working atypical hours. </w:t>
                            </w:r>
                          </w:p>
                          <w:p w14:paraId="3BFD10C7" w14:textId="77777777" w:rsidR="006E098A" w:rsidRDefault="006E098A" w:rsidP="006E098A"/>
                          <w:p w14:paraId="76797AEE" w14:textId="77777777" w:rsidR="006E098A" w:rsidRPr="00446AAE" w:rsidRDefault="006E098A" w:rsidP="006E098A">
                            <w:pPr>
                              <w:shd w:val="clear" w:color="auto" w:fill="D9E2F3" w:themeFill="accent1" w:themeFillTint="33"/>
                              <w:rPr>
                                <w:b/>
                                <w:bCs/>
                                <w:sz w:val="36"/>
                                <w:szCs w:val="36"/>
                              </w:rPr>
                            </w:pPr>
                            <w:r w:rsidRPr="00446AAE">
                              <w:rPr>
                                <w:b/>
                                <w:bCs/>
                                <w:sz w:val="32"/>
                                <w:szCs w:val="32"/>
                              </w:rPr>
                              <w:t>Affordability</w:t>
                            </w:r>
                          </w:p>
                          <w:p w14:paraId="2D6DF818" w14:textId="77777777" w:rsidR="006E098A" w:rsidRDefault="006E098A" w:rsidP="006E098A"/>
                          <w:p w14:paraId="6ED37F77" w14:textId="2EB01B4A" w:rsidR="006E098A" w:rsidRPr="009377B9" w:rsidRDefault="006E098A" w:rsidP="006E098A">
                            <w:r w:rsidRPr="009377B9">
                              <w:t xml:space="preserve">Childcare is more expensive for younger children: part-time and full-time childcare for under 2-year-olds absorbs </w:t>
                            </w:r>
                            <w:r w:rsidR="008E09DD">
                              <w:t>[</w:t>
                            </w:r>
                            <w:r w:rsidRPr="00862BFD">
                              <w:rPr>
                                <w:highlight w:val="yellow"/>
                              </w:rPr>
                              <w:t>at least half</w:t>
                            </w:r>
                            <w:r w:rsidR="008E09DD">
                              <w:t>]</w:t>
                            </w:r>
                            <w:r w:rsidRPr="009377B9">
                              <w:t xml:space="preserve"> of women’s median earnings in </w:t>
                            </w:r>
                            <w:r w:rsidR="008E09DD">
                              <w:t>[</w:t>
                            </w:r>
                            <w:r w:rsidRPr="00862BFD">
                              <w:rPr>
                                <w:highlight w:val="yellow"/>
                              </w:rPr>
                              <w:t>Great Britain</w:t>
                            </w:r>
                            <w:r w:rsidR="008E09DD">
                              <w:t>]</w:t>
                            </w:r>
                            <w:r w:rsidRPr="009377B9">
                              <w:t xml:space="preserve">. State support for 3- and 4-year-olds makes a huge difference to affordability but childcare for this age group is still between </w:t>
                            </w:r>
                            <w:r w:rsidR="008E09DD">
                              <w:t>[</w:t>
                            </w:r>
                            <w:r w:rsidRPr="00862BFD">
                              <w:rPr>
                                <w:highlight w:val="yellow"/>
                              </w:rPr>
                              <w:t>a fifth</w:t>
                            </w:r>
                            <w:r w:rsidR="008E09DD">
                              <w:t>]</w:t>
                            </w:r>
                            <w:r w:rsidRPr="009377B9">
                              <w:t xml:space="preserve"> and </w:t>
                            </w:r>
                            <w:r w:rsidR="008E09DD">
                              <w:t>[</w:t>
                            </w:r>
                            <w:r w:rsidRPr="00862BFD">
                              <w:rPr>
                                <w:highlight w:val="yellow"/>
                              </w:rPr>
                              <w:t>a quarter</w:t>
                            </w:r>
                            <w:r w:rsidR="008E09DD">
                              <w:t>]</w:t>
                            </w:r>
                            <w:r w:rsidRPr="009377B9">
                              <w:t xml:space="preserve"> of women’s salaries.</w:t>
                            </w:r>
                          </w:p>
                          <w:p w14:paraId="42CDF4C3" w14:textId="77777777" w:rsidR="006E098A" w:rsidRPr="009377B9" w:rsidRDefault="006E098A" w:rsidP="006E098A"/>
                          <w:tbl>
                            <w:tblPr>
                              <w:tblW w:w="9226" w:type="dxa"/>
                              <w:tblInd w:w="-5" w:type="dxa"/>
                              <w:tblLook w:val="04A0" w:firstRow="1" w:lastRow="0" w:firstColumn="1" w:lastColumn="0" w:noHBand="0" w:noVBand="1"/>
                            </w:tblPr>
                            <w:tblGrid>
                              <w:gridCol w:w="3798"/>
                              <w:gridCol w:w="1284"/>
                              <w:gridCol w:w="2072"/>
                              <w:gridCol w:w="2072"/>
                            </w:tblGrid>
                            <w:tr w:rsidR="006E098A" w:rsidRPr="009377B9" w14:paraId="78A5F162" w14:textId="77777777" w:rsidTr="004378FA">
                              <w:trPr>
                                <w:trHeight w:val="1265"/>
                              </w:trPr>
                              <w:tc>
                                <w:tcPr>
                                  <w:tcW w:w="50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233B27B" w14:textId="4F8706B5" w:rsidR="006E098A" w:rsidRPr="009377B9" w:rsidRDefault="006E098A" w:rsidP="0024648B">
                                  <w:pPr>
                                    <w:rPr>
                                      <w:rFonts w:ascii="Calibri" w:eastAsia="Times New Roman" w:hAnsi="Calibri" w:cs="Calibri"/>
                                      <w:b/>
                                      <w:bCs/>
                                      <w:color w:val="000000"/>
                                    </w:rPr>
                                  </w:pPr>
                                  <w:r w:rsidRPr="009377B9">
                                    <w:rPr>
                                      <w:rFonts w:ascii="Calibri" w:eastAsia="Times New Roman" w:hAnsi="Calibri" w:cs="Calibri"/>
                                      <w:b/>
                                      <w:bCs/>
                                      <w:color w:val="000000"/>
                                    </w:rPr>
                                    <w:t xml:space="preserve">Childcare costs in </w:t>
                                  </w:r>
                                  <w:r w:rsidR="008E09DD">
                                    <w:rPr>
                                      <w:rFonts w:ascii="Calibri" w:eastAsia="Times New Roman" w:hAnsi="Calibri" w:cs="Calibri"/>
                                      <w:b/>
                                      <w:bCs/>
                                      <w:color w:val="000000"/>
                                    </w:rPr>
                                    <w:t>[</w:t>
                                  </w:r>
                                  <w:r w:rsidRPr="00862BFD">
                                    <w:rPr>
                                      <w:rFonts w:ascii="Calibri" w:eastAsia="Times New Roman" w:hAnsi="Calibri" w:cs="Calibri"/>
                                      <w:b/>
                                      <w:bCs/>
                                      <w:color w:val="000000"/>
                                      <w:highlight w:val="yellow"/>
                                    </w:rPr>
                                    <w:t>Great Britain</w:t>
                                  </w:r>
                                  <w:r w:rsidR="008E09DD">
                                    <w:rPr>
                                      <w:rFonts w:ascii="Calibri" w:eastAsia="Times New Roman" w:hAnsi="Calibri" w:cs="Calibri"/>
                                      <w:b/>
                                      <w:bCs/>
                                      <w:color w:val="000000"/>
                                    </w:rPr>
                                    <w:t>]</w:t>
                                  </w:r>
                                  <w:r w:rsidRPr="009377B9">
                                    <w:rPr>
                                      <w:rFonts w:ascii="Calibri" w:eastAsia="Times New Roman" w:hAnsi="Calibri" w:cs="Calibri"/>
                                      <w:b/>
                                      <w:bCs/>
                                      <w:color w:val="000000"/>
                                    </w:rPr>
                                    <w:t xml:space="preserve"> for children in Nursery (per year)</w:t>
                                  </w:r>
                                </w:p>
                              </w:tc>
                              <w:tc>
                                <w:tcPr>
                                  <w:tcW w:w="2072" w:type="dxa"/>
                                  <w:tcBorders>
                                    <w:top w:val="single" w:sz="4" w:space="0" w:color="auto"/>
                                    <w:left w:val="nil"/>
                                    <w:bottom w:val="single" w:sz="4" w:space="0" w:color="auto"/>
                                    <w:right w:val="single" w:sz="4" w:space="0" w:color="auto"/>
                                  </w:tcBorders>
                                  <w:shd w:val="clear" w:color="auto" w:fill="auto"/>
                                  <w:vAlign w:val="bottom"/>
                                  <w:hideMark/>
                                </w:tcPr>
                                <w:p w14:paraId="44530A20" w14:textId="77777777" w:rsidR="006E098A" w:rsidRPr="009377B9" w:rsidRDefault="006E098A" w:rsidP="0024648B">
                                  <w:pPr>
                                    <w:jc w:val="center"/>
                                    <w:rPr>
                                      <w:rFonts w:ascii="Calibri" w:eastAsia="Times New Roman" w:hAnsi="Calibri" w:cs="Calibri"/>
                                      <w:b/>
                                      <w:bCs/>
                                      <w:color w:val="000000"/>
                                    </w:rPr>
                                  </w:pPr>
                                  <w:r w:rsidRPr="009377B9">
                                    <w:rPr>
                                      <w:rFonts w:ascii="Calibri" w:eastAsia="Times New Roman" w:hAnsi="Calibri" w:cs="Calibri"/>
                                      <w:b/>
                                      <w:bCs/>
                                      <w:color w:val="000000"/>
                                    </w:rPr>
                                    <w:t>Women's Median earnings (per year)</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14:paraId="40B847C4" w14:textId="77777777" w:rsidR="006E098A" w:rsidRPr="009377B9" w:rsidRDefault="006E098A" w:rsidP="0024648B">
                                  <w:pPr>
                                    <w:jc w:val="center"/>
                                    <w:rPr>
                                      <w:rFonts w:ascii="Calibri" w:eastAsia="Times New Roman" w:hAnsi="Calibri" w:cs="Calibri"/>
                                      <w:b/>
                                      <w:bCs/>
                                      <w:color w:val="000000"/>
                                    </w:rPr>
                                  </w:pPr>
                                  <w:r w:rsidRPr="009377B9">
                                    <w:rPr>
                                      <w:rFonts w:ascii="Calibri" w:eastAsia="Times New Roman" w:hAnsi="Calibri" w:cs="Calibri"/>
                                      <w:b/>
                                      <w:bCs/>
                                      <w:color w:val="000000"/>
                                    </w:rPr>
                                    <w:t xml:space="preserve">% </w:t>
                                  </w:r>
                                  <w:proofErr w:type="gramStart"/>
                                  <w:r w:rsidRPr="009377B9">
                                    <w:rPr>
                                      <w:rFonts w:ascii="Calibri" w:eastAsia="Times New Roman" w:hAnsi="Calibri" w:cs="Calibri"/>
                                      <w:b/>
                                      <w:bCs/>
                                      <w:color w:val="000000"/>
                                    </w:rPr>
                                    <w:t>of</w:t>
                                  </w:r>
                                  <w:proofErr w:type="gramEnd"/>
                                  <w:r w:rsidRPr="009377B9">
                                    <w:rPr>
                                      <w:rFonts w:ascii="Calibri" w:eastAsia="Times New Roman" w:hAnsi="Calibri" w:cs="Calibri"/>
                                      <w:b/>
                                      <w:bCs/>
                                      <w:color w:val="000000"/>
                                    </w:rPr>
                                    <w:t xml:space="preserve"> women’s earnings absorbed by childcare</w:t>
                                  </w:r>
                                </w:p>
                              </w:tc>
                            </w:tr>
                            <w:tr w:rsidR="006E098A" w:rsidRPr="009377B9" w14:paraId="1C5503B1" w14:textId="77777777" w:rsidTr="004378FA">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112A2BE0" w14:textId="77777777" w:rsidR="006E098A" w:rsidRPr="009377B9" w:rsidRDefault="006E098A" w:rsidP="0024648B">
                                  <w:pPr>
                                    <w:rPr>
                                      <w:rFonts w:ascii="Calibri" w:eastAsia="Times New Roman" w:hAnsi="Calibri" w:cs="Calibri"/>
                                      <w:color w:val="000000"/>
                                    </w:rPr>
                                  </w:pPr>
                                  <w:r w:rsidRPr="009377B9">
                                    <w:rPr>
                                      <w:rFonts w:ascii="Calibri" w:eastAsia="Times New Roman" w:hAnsi="Calibri" w:cs="Calibri"/>
                                      <w:color w:val="000000"/>
                                    </w:rPr>
                                    <w:t>&lt; 2-year-olds (part-time)</w:t>
                                  </w:r>
                                </w:p>
                              </w:tc>
                              <w:tc>
                                <w:tcPr>
                                  <w:tcW w:w="1284" w:type="dxa"/>
                                  <w:tcBorders>
                                    <w:top w:val="nil"/>
                                    <w:left w:val="nil"/>
                                    <w:bottom w:val="single" w:sz="4" w:space="0" w:color="auto"/>
                                    <w:right w:val="single" w:sz="4" w:space="0" w:color="auto"/>
                                  </w:tcBorders>
                                  <w:shd w:val="clear" w:color="auto" w:fill="auto"/>
                                  <w:noWrap/>
                                  <w:vAlign w:val="bottom"/>
                                  <w:hideMark/>
                                </w:tcPr>
                                <w:p w14:paraId="19E1D9D0" w14:textId="05975B49"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£7,160</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72" w:type="dxa"/>
                                  <w:tcBorders>
                                    <w:top w:val="nil"/>
                                    <w:left w:val="nil"/>
                                    <w:bottom w:val="single" w:sz="4" w:space="0" w:color="auto"/>
                                    <w:right w:val="single" w:sz="4" w:space="0" w:color="auto"/>
                                  </w:tcBorders>
                                  <w:shd w:val="clear" w:color="auto" w:fill="auto"/>
                                  <w:noWrap/>
                                  <w:vAlign w:val="bottom"/>
                                  <w:hideMark/>
                                </w:tcPr>
                                <w:p w14:paraId="086DC533" w14:textId="7E774D6B"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£11,324</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72" w:type="dxa"/>
                                  <w:tcBorders>
                                    <w:top w:val="nil"/>
                                    <w:left w:val="nil"/>
                                    <w:bottom w:val="single" w:sz="4" w:space="0" w:color="auto"/>
                                    <w:right w:val="single" w:sz="4" w:space="0" w:color="auto"/>
                                  </w:tcBorders>
                                  <w:shd w:val="clear" w:color="auto" w:fill="auto"/>
                                  <w:noWrap/>
                                  <w:vAlign w:val="bottom"/>
                                  <w:hideMark/>
                                </w:tcPr>
                                <w:p w14:paraId="7632F7B0" w14:textId="3B1D5219"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63%</w:t>
                                  </w:r>
                                  <w:r>
                                    <w:rPr>
                                      <w:rFonts w:ascii="Calibri" w:eastAsia="Times New Roman" w:hAnsi="Calibri" w:cs="Calibri"/>
                                      <w:color w:val="000000"/>
                                    </w:rPr>
                                    <w:t>]</w:t>
                                  </w:r>
                                </w:p>
                              </w:tc>
                            </w:tr>
                            <w:tr w:rsidR="006E098A" w:rsidRPr="009377B9" w14:paraId="36C6665B" w14:textId="77777777" w:rsidTr="004378FA">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047B4E62" w14:textId="77777777" w:rsidR="006E098A" w:rsidRPr="009377B9" w:rsidRDefault="006E098A" w:rsidP="0024648B">
                                  <w:pPr>
                                    <w:rPr>
                                      <w:rFonts w:ascii="Calibri" w:eastAsia="Times New Roman" w:hAnsi="Calibri" w:cs="Calibri"/>
                                      <w:color w:val="000000"/>
                                    </w:rPr>
                                  </w:pPr>
                                  <w:r w:rsidRPr="009377B9">
                                    <w:rPr>
                                      <w:rFonts w:ascii="Calibri" w:eastAsia="Times New Roman" w:hAnsi="Calibri" w:cs="Calibri"/>
                                      <w:color w:val="000000"/>
                                    </w:rPr>
                                    <w:t>&lt; 2-year-olds (full-time)</w:t>
                                  </w:r>
                                </w:p>
                              </w:tc>
                              <w:tc>
                                <w:tcPr>
                                  <w:tcW w:w="1284" w:type="dxa"/>
                                  <w:tcBorders>
                                    <w:top w:val="nil"/>
                                    <w:left w:val="nil"/>
                                    <w:bottom w:val="single" w:sz="4" w:space="0" w:color="auto"/>
                                    <w:right w:val="single" w:sz="4" w:space="0" w:color="auto"/>
                                  </w:tcBorders>
                                  <w:shd w:val="clear" w:color="auto" w:fill="auto"/>
                                  <w:noWrap/>
                                  <w:vAlign w:val="bottom"/>
                                  <w:hideMark/>
                                </w:tcPr>
                                <w:p w14:paraId="097AB81B" w14:textId="7D7C213C"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£13,718</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72" w:type="dxa"/>
                                  <w:tcBorders>
                                    <w:top w:val="nil"/>
                                    <w:left w:val="nil"/>
                                    <w:bottom w:val="single" w:sz="4" w:space="0" w:color="auto"/>
                                    <w:right w:val="single" w:sz="4" w:space="0" w:color="auto"/>
                                  </w:tcBorders>
                                  <w:shd w:val="clear" w:color="auto" w:fill="auto"/>
                                  <w:noWrap/>
                                  <w:vAlign w:val="bottom"/>
                                  <w:hideMark/>
                                </w:tcPr>
                                <w:p w14:paraId="43F5A79E" w14:textId="4BAA8E8B"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£28,021</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72" w:type="dxa"/>
                                  <w:tcBorders>
                                    <w:top w:val="nil"/>
                                    <w:left w:val="nil"/>
                                    <w:bottom w:val="single" w:sz="4" w:space="0" w:color="auto"/>
                                    <w:right w:val="single" w:sz="4" w:space="0" w:color="auto"/>
                                  </w:tcBorders>
                                  <w:shd w:val="clear" w:color="auto" w:fill="auto"/>
                                  <w:noWrap/>
                                  <w:vAlign w:val="bottom"/>
                                  <w:hideMark/>
                                </w:tcPr>
                                <w:p w14:paraId="422C4100" w14:textId="222082E3"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49%</w:t>
                                  </w:r>
                                  <w:r>
                                    <w:rPr>
                                      <w:rFonts w:ascii="Calibri" w:eastAsia="Times New Roman" w:hAnsi="Calibri" w:cs="Calibri"/>
                                      <w:color w:val="000000"/>
                                    </w:rPr>
                                    <w:t>]</w:t>
                                  </w:r>
                                </w:p>
                              </w:tc>
                            </w:tr>
                          </w:tbl>
                          <w:p w14:paraId="7451843A" w14:textId="77777777" w:rsidR="006E098A" w:rsidRPr="009377B9" w:rsidRDefault="006E098A" w:rsidP="006E098A">
                            <w:pPr>
                              <w:rPr>
                                <w:b/>
                                <w:bCs/>
                                <w:sz w:val="28"/>
                                <w:szCs w:val="28"/>
                              </w:rPr>
                            </w:pPr>
                          </w:p>
                          <w:tbl>
                            <w:tblPr>
                              <w:tblW w:w="9207" w:type="dxa"/>
                              <w:tblLook w:val="04A0" w:firstRow="1" w:lastRow="0" w:firstColumn="1" w:lastColumn="0" w:noHBand="0" w:noVBand="1"/>
                            </w:tblPr>
                            <w:tblGrid>
                              <w:gridCol w:w="3944"/>
                              <w:gridCol w:w="1127"/>
                              <w:gridCol w:w="2068"/>
                              <w:gridCol w:w="2068"/>
                            </w:tblGrid>
                            <w:tr w:rsidR="006E098A" w:rsidRPr="009377B9" w14:paraId="65E7A864" w14:textId="77777777" w:rsidTr="004378FA">
                              <w:trPr>
                                <w:trHeight w:val="1032"/>
                              </w:trPr>
                              <w:tc>
                                <w:tcPr>
                                  <w:tcW w:w="507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64A96BC" w14:textId="34B3B223" w:rsidR="006E098A" w:rsidRPr="009377B9" w:rsidRDefault="006E098A" w:rsidP="0024648B">
                                  <w:pPr>
                                    <w:rPr>
                                      <w:rFonts w:ascii="Calibri" w:eastAsia="Times New Roman" w:hAnsi="Calibri" w:cs="Calibri"/>
                                      <w:b/>
                                      <w:bCs/>
                                      <w:color w:val="000000"/>
                                    </w:rPr>
                                  </w:pPr>
                                  <w:r w:rsidRPr="009377B9">
                                    <w:rPr>
                                      <w:rFonts w:ascii="Calibri" w:eastAsia="Times New Roman" w:hAnsi="Calibri" w:cs="Calibri"/>
                                      <w:b/>
                                      <w:bCs/>
                                      <w:color w:val="000000"/>
                                    </w:rPr>
                                    <w:t xml:space="preserve">Childcare costs in </w:t>
                                  </w:r>
                                  <w:r w:rsidR="008E09DD">
                                    <w:rPr>
                                      <w:rFonts w:ascii="Calibri" w:eastAsia="Times New Roman" w:hAnsi="Calibri" w:cs="Calibri"/>
                                      <w:b/>
                                      <w:bCs/>
                                      <w:color w:val="000000"/>
                                    </w:rPr>
                                    <w:t>[</w:t>
                                  </w:r>
                                  <w:r w:rsidRPr="00862BFD">
                                    <w:rPr>
                                      <w:rFonts w:ascii="Calibri" w:eastAsia="Times New Roman" w:hAnsi="Calibri" w:cs="Calibri"/>
                                      <w:b/>
                                      <w:bCs/>
                                      <w:color w:val="000000"/>
                                      <w:highlight w:val="yellow"/>
                                    </w:rPr>
                                    <w:t>England</w:t>
                                  </w:r>
                                  <w:r w:rsidR="008E09DD">
                                    <w:rPr>
                                      <w:rFonts w:ascii="Calibri" w:eastAsia="Times New Roman" w:hAnsi="Calibri" w:cs="Calibri"/>
                                      <w:b/>
                                      <w:bCs/>
                                      <w:color w:val="000000"/>
                                    </w:rPr>
                                    <w:t>]</w:t>
                                  </w:r>
                                  <w:r w:rsidRPr="009377B9">
                                    <w:rPr>
                                      <w:rFonts w:ascii="Calibri" w:eastAsia="Times New Roman" w:hAnsi="Calibri" w:cs="Calibri"/>
                                      <w:b/>
                                      <w:bCs/>
                                      <w:color w:val="000000"/>
                                    </w:rPr>
                                    <w:t xml:space="preserve"> for children in Nursery (per year)</w:t>
                                  </w:r>
                                </w:p>
                              </w:tc>
                              <w:tc>
                                <w:tcPr>
                                  <w:tcW w:w="2068" w:type="dxa"/>
                                  <w:tcBorders>
                                    <w:top w:val="single" w:sz="4" w:space="0" w:color="auto"/>
                                    <w:left w:val="nil"/>
                                    <w:bottom w:val="single" w:sz="4" w:space="0" w:color="auto"/>
                                    <w:right w:val="single" w:sz="4" w:space="0" w:color="auto"/>
                                  </w:tcBorders>
                                  <w:shd w:val="clear" w:color="auto" w:fill="auto"/>
                                  <w:vAlign w:val="bottom"/>
                                  <w:hideMark/>
                                </w:tcPr>
                                <w:p w14:paraId="26859944" w14:textId="77777777" w:rsidR="006E098A" w:rsidRPr="009377B9" w:rsidRDefault="006E098A" w:rsidP="0024648B">
                                  <w:pPr>
                                    <w:jc w:val="center"/>
                                    <w:rPr>
                                      <w:rFonts w:ascii="Calibri" w:eastAsia="Times New Roman" w:hAnsi="Calibri" w:cs="Calibri"/>
                                      <w:b/>
                                      <w:bCs/>
                                      <w:color w:val="000000"/>
                                    </w:rPr>
                                  </w:pPr>
                                  <w:r w:rsidRPr="009377B9">
                                    <w:rPr>
                                      <w:rFonts w:ascii="Calibri" w:eastAsia="Times New Roman" w:hAnsi="Calibri" w:cs="Calibri"/>
                                      <w:b/>
                                      <w:bCs/>
                                      <w:color w:val="000000"/>
                                    </w:rPr>
                                    <w:t>Women's Median earnings (per year)</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6E559FFD" w14:textId="77777777" w:rsidR="006E098A" w:rsidRPr="009377B9" w:rsidRDefault="006E098A" w:rsidP="0024648B">
                                  <w:pPr>
                                    <w:jc w:val="center"/>
                                    <w:rPr>
                                      <w:rFonts w:ascii="Calibri" w:eastAsia="Times New Roman" w:hAnsi="Calibri" w:cs="Calibri"/>
                                      <w:b/>
                                      <w:bCs/>
                                      <w:color w:val="000000"/>
                                    </w:rPr>
                                  </w:pPr>
                                  <w:r w:rsidRPr="009377B9">
                                    <w:rPr>
                                      <w:rFonts w:ascii="Calibri" w:eastAsia="Times New Roman" w:hAnsi="Calibri" w:cs="Calibri"/>
                                      <w:b/>
                                      <w:bCs/>
                                      <w:color w:val="000000"/>
                                    </w:rPr>
                                    <w:t xml:space="preserve">% </w:t>
                                  </w:r>
                                  <w:proofErr w:type="gramStart"/>
                                  <w:r w:rsidRPr="009377B9">
                                    <w:rPr>
                                      <w:rFonts w:ascii="Calibri" w:eastAsia="Times New Roman" w:hAnsi="Calibri" w:cs="Calibri"/>
                                      <w:b/>
                                      <w:bCs/>
                                      <w:color w:val="000000"/>
                                    </w:rPr>
                                    <w:t>of</w:t>
                                  </w:r>
                                  <w:proofErr w:type="gramEnd"/>
                                  <w:r w:rsidRPr="009377B9">
                                    <w:rPr>
                                      <w:rFonts w:ascii="Calibri" w:eastAsia="Times New Roman" w:hAnsi="Calibri" w:cs="Calibri"/>
                                      <w:b/>
                                      <w:bCs/>
                                      <w:color w:val="000000"/>
                                    </w:rPr>
                                    <w:t xml:space="preserve"> women’s earnings absorbed by childcare</w:t>
                                  </w:r>
                                </w:p>
                              </w:tc>
                            </w:tr>
                            <w:tr w:rsidR="006E098A" w:rsidRPr="009377B9" w14:paraId="10F6860C" w14:textId="77777777" w:rsidTr="004378FA">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0333EB5C" w14:textId="77777777" w:rsidR="006E098A" w:rsidRPr="009377B9" w:rsidRDefault="006E098A" w:rsidP="0024648B">
                                  <w:pPr>
                                    <w:rPr>
                                      <w:rFonts w:ascii="Calibri" w:eastAsia="Times New Roman" w:hAnsi="Calibri" w:cs="Calibri"/>
                                      <w:color w:val="000000"/>
                                    </w:rPr>
                                  </w:pPr>
                                  <w:r w:rsidRPr="009377B9">
                                    <w:rPr>
                                      <w:rFonts w:ascii="Calibri" w:eastAsia="Times New Roman" w:hAnsi="Calibri" w:cs="Calibri"/>
                                      <w:color w:val="000000"/>
                                    </w:rPr>
                                    <w:t>3-4-year-olds (part-time)</w:t>
                                  </w:r>
                                </w:p>
                              </w:tc>
                              <w:tc>
                                <w:tcPr>
                                  <w:tcW w:w="1126" w:type="dxa"/>
                                  <w:tcBorders>
                                    <w:top w:val="nil"/>
                                    <w:left w:val="nil"/>
                                    <w:bottom w:val="single" w:sz="4" w:space="0" w:color="auto"/>
                                    <w:right w:val="single" w:sz="4" w:space="0" w:color="auto"/>
                                  </w:tcBorders>
                                  <w:shd w:val="clear" w:color="auto" w:fill="auto"/>
                                  <w:noWrap/>
                                  <w:vAlign w:val="bottom"/>
                                  <w:hideMark/>
                                </w:tcPr>
                                <w:p w14:paraId="79D8D287" w14:textId="657A0FA2"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£2,727</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68" w:type="dxa"/>
                                  <w:tcBorders>
                                    <w:top w:val="nil"/>
                                    <w:left w:val="nil"/>
                                    <w:bottom w:val="single" w:sz="4" w:space="0" w:color="auto"/>
                                    <w:right w:val="single" w:sz="4" w:space="0" w:color="auto"/>
                                  </w:tcBorders>
                                  <w:shd w:val="clear" w:color="auto" w:fill="auto"/>
                                  <w:noWrap/>
                                  <w:vAlign w:val="bottom"/>
                                  <w:hideMark/>
                                </w:tcPr>
                                <w:p w14:paraId="0E118866" w14:textId="7AD01F78"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£11,226</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68" w:type="dxa"/>
                                  <w:tcBorders>
                                    <w:top w:val="nil"/>
                                    <w:left w:val="nil"/>
                                    <w:bottom w:val="single" w:sz="4" w:space="0" w:color="auto"/>
                                    <w:right w:val="single" w:sz="4" w:space="0" w:color="auto"/>
                                  </w:tcBorders>
                                  <w:shd w:val="clear" w:color="auto" w:fill="auto"/>
                                  <w:noWrap/>
                                  <w:vAlign w:val="bottom"/>
                                  <w:hideMark/>
                                </w:tcPr>
                                <w:p w14:paraId="51AA6521" w14:textId="2848FEEF"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24%</w:t>
                                  </w:r>
                                  <w:r>
                                    <w:rPr>
                                      <w:rFonts w:ascii="Calibri" w:eastAsia="Times New Roman" w:hAnsi="Calibri" w:cs="Calibri"/>
                                      <w:color w:val="000000"/>
                                    </w:rPr>
                                    <w:t>]</w:t>
                                  </w:r>
                                </w:p>
                              </w:tc>
                            </w:tr>
                            <w:tr w:rsidR="006E098A" w:rsidRPr="009377B9" w14:paraId="0A735AC4" w14:textId="77777777" w:rsidTr="004378FA">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5C8132C7" w14:textId="77777777" w:rsidR="006E098A" w:rsidRPr="009377B9" w:rsidRDefault="006E098A" w:rsidP="0024648B">
                                  <w:pPr>
                                    <w:rPr>
                                      <w:rFonts w:ascii="Calibri" w:eastAsia="Times New Roman" w:hAnsi="Calibri" w:cs="Calibri"/>
                                      <w:color w:val="000000"/>
                                    </w:rPr>
                                  </w:pPr>
                                  <w:r w:rsidRPr="009377B9">
                                    <w:rPr>
                                      <w:rFonts w:ascii="Calibri" w:eastAsia="Times New Roman" w:hAnsi="Calibri" w:cs="Calibri"/>
                                      <w:color w:val="000000"/>
                                    </w:rPr>
                                    <w:t>3-4-year-olds (full-time)</w:t>
                                  </w:r>
                                </w:p>
                              </w:tc>
                              <w:tc>
                                <w:tcPr>
                                  <w:tcW w:w="1126" w:type="dxa"/>
                                  <w:tcBorders>
                                    <w:top w:val="nil"/>
                                    <w:left w:val="nil"/>
                                    <w:bottom w:val="single" w:sz="4" w:space="0" w:color="auto"/>
                                    <w:right w:val="single" w:sz="4" w:space="0" w:color="auto"/>
                                  </w:tcBorders>
                                  <w:shd w:val="clear" w:color="auto" w:fill="auto"/>
                                  <w:noWrap/>
                                  <w:vAlign w:val="bottom"/>
                                  <w:hideMark/>
                                </w:tcPr>
                                <w:p w14:paraId="6385F3E0" w14:textId="04AC6A63"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£5,282</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68" w:type="dxa"/>
                                  <w:tcBorders>
                                    <w:top w:val="nil"/>
                                    <w:left w:val="nil"/>
                                    <w:bottom w:val="single" w:sz="4" w:space="0" w:color="auto"/>
                                    <w:right w:val="single" w:sz="4" w:space="0" w:color="auto"/>
                                  </w:tcBorders>
                                  <w:shd w:val="clear" w:color="auto" w:fill="auto"/>
                                  <w:noWrap/>
                                  <w:vAlign w:val="bottom"/>
                                  <w:hideMark/>
                                </w:tcPr>
                                <w:p w14:paraId="24E9D4AF" w14:textId="4561399E"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£28,077</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68" w:type="dxa"/>
                                  <w:tcBorders>
                                    <w:top w:val="nil"/>
                                    <w:left w:val="nil"/>
                                    <w:bottom w:val="single" w:sz="4" w:space="0" w:color="auto"/>
                                    <w:right w:val="single" w:sz="4" w:space="0" w:color="auto"/>
                                  </w:tcBorders>
                                  <w:shd w:val="clear" w:color="auto" w:fill="auto"/>
                                  <w:noWrap/>
                                  <w:vAlign w:val="bottom"/>
                                  <w:hideMark/>
                                </w:tcPr>
                                <w:p w14:paraId="3990FE2A" w14:textId="370E932C"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19%</w:t>
                                  </w:r>
                                  <w:r>
                                    <w:rPr>
                                      <w:rFonts w:ascii="Calibri" w:eastAsia="Times New Roman" w:hAnsi="Calibri" w:cs="Calibri"/>
                                      <w:color w:val="000000"/>
                                    </w:rPr>
                                    <w:t>]</w:t>
                                  </w:r>
                                </w:p>
                              </w:tc>
                            </w:tr>
                          </w:tbl>
                          <w:p w14:paraId="3D35EC57" w14:textId="77777777" w:rsidR="006E098A" w:rsidRDefault="006E098A" w:rsidP="006E098A"/>
                          <w:p w14:paraId="58B88EE2" w14:textId="77777777" w:rsidR="006E098A" w:rsidRPr="00446AAE" w:rsidRDefault="006E098A" w:rsidP="006E098A">
                            <w:pPr>
                              <w:shd w:val="clear" w:color="auto" w:fill="D9E2F3" w:themeFill="accent1" w:themeFillTint="33"/>
                              <w:rPr>
                                <w:b/>
                                <w:bCs/>
                                <w:sz w:val="32"/>
                                <w:szCs w:val="32"/>
                              </w:rPr>
                            </w:pPr>
                            <w:r w:rsidRPr="00446AAE">
                              <w:rPr>
                                <w:b/>
                                <w:bCs/>
                                <w:sz w:val="32"/>
                                <w:szCs w:val="32"/>
                              </w:rPr>
                              <w:t>Impact of Covid-19 and closures</w:t>
                            </w:r>
                          </w:p>
                          <w:p w14:paraId="3B4E66AB" w14:textId="77777777" w:rsidR="006E098A" w:rsidRDefault="006E098A" w:rsidP="006E098A"/>
                          <w:p w14:paraId="49C57D8B" w14:textId="7F4245A7" w:rsidR="006E098A" w:rsidRDefault="006E098A" w:rsidP="006E098A">
                            <w:r w:rsidRPr="009377B9">
                              <w:t xml:space="preserve">Even before the Covid-19 pandemic, childcare reform was urgently needed. In the period August 2020-March 2021, Ofsted data showed a net </w:t>
                            </w:r>
                            <w:r w:rsidR="002A2E6B" w:rsidRPr="002A2E6B">
                              <w:rPr>
                                <w:highlight w:val="yellow"/>
                              </w:rPr>
                              <w:t>[</w:t>
                            </w:r>
                            <w:r w:rsidRPr="002A2E6B">
                              <w:rPr>
                                <w:highlight w:val="yellow"/>
                              </w:rPr>
                              <w:t>loss of</w:t>
                            </w:r>
                            <w:r w:rsidRPr="009377B9">
                              <w:t xml:space="preserve"> </w:t>
                            </w:r>
                            <w:r w:rsidRPr="00862BFD">
                              <w:rPr>
                                <w:highlight w:val="yellow"/>
                              </w:rPr>
                              <w:t>4.4%</w:t>
                            </w:r>
                            <w:r w:rsidR="002A2E6B">
                              <w:rPr>
                                <w:highlight w:val="yellow"/>
                              </w:rPr>
                              <w:t>]</w:t>
                            </w:r>
                            <w:r w:rsidRPr="00862BFD">
                              <w:rPr>
                                <w:highlight w:val="yellow"/>
                              </w:rPr>
                              <w:t xml:space="preserve"> of childcare providers</w:t>
                            </w:r>
                            <w:r w:rsidRPr="009377B9">
                              <w:t xml:space="preserve"> and a net </w:t>
                            </w:r>
                            <w:r w:rsidR="002A2E6B" w:rsidRPr="002A2E6B">
                              <w:rPr>
                                <w:highlight w:val="yellow"/>
                              </w:rPr>
                              <w:t>[</w:t>
                            </w:r>
                            <w:r w:rsidRPr="002A2E6B">
                              <w:rPr>
                                <w:highlight w:val="yellow"/>
                              </w:rPr>
                              <w:t>loss of 1.1%</w:t>
                            </w:r>
                            <w:r w:rsidR="000C783F" w:rsidRPr="002A2E6B">
                              <w:rPr>
                                <w:highlight w:val="yellow"/>
                              </w:rPr>
                              <w:t>]</w:t>
                            </w:r>
                            <w:r w:rsidRPr="002A2E6B">
                              <w:rPr>
                                <w:highlight w:val="yellow"/>
                              </w:rPr>
                              <w:t xml:space="preserve"> </w:t>
                            </w:r>
                            <w:r w:rsidRPr="00862BFD">
                              <w:rPr>
                                <w:highlight w:val="yellow"/>
                              </w:rPr>
                              <w:t>of childcare places</w:t>
                            </w:r>
                            <w:r w:rsidRPr="009377B9">
                              <w:t xml:space="preserve"> in </w:t>
                            </w:r>
                            <w:r w:rsidR="000C783F">
                              <w:t>[</w:t>
                            </w:r>
                            <w:r w:rsidRPr="00862BFD">
                              <w:rPr>
                                <w:highlight w:val="yellow"/>
                              </w:rPr>
                              <w:t>England</w:t>
                            </w:r>
                            <w:r w:rsidR="000C783F">
                              <w:t>]</w:t>
                            </w:r>
                            <w:r w:rsidRPr="009377B9">
                              <w:t xml:space="preserve">. </w:t>
                            </w:r>
                            <w:r w:rsidR="002A2E6B">
                              <w:t>[</w:t>
                            </w:r>
                            <w:r w:rsidRPr="002A2E6B">
                              <w:rPr>
                                <w:highlight w:val="yellow"/>
                              </w:rPr>
                              <w:t>This decrease in places was largely driven by childminders leaving the market</w:t>
                            </w:r>
                            <w:r w:rsidRPr="009377B9">
                              <w:t>.</w:t>
                            </w:r>
                            <w:r w:rsidR="002A2E6B">
                              <w:t>]</w:t>
                            </w:r>
                            <w:r w:rsidRPr="009377B9">
                              <w:t xml:space="preserve"> </w:t>
                            </w:r>
                            <w:r>
                              <w:t xml:space="preserve">There were </w:t>
                            </w:r>
                            <w:r w:rsidR="000C783F">
                              <w:t>[</w:t>
                            </w:r>
                            <w:r w:rsidRPr="00862BFD">
                              <w:rPr>
                                <w:highlight w:val="yellow"/>
                              </w:rPr>
                              <w:t>64,173</w:t>
                            </w:r>
                            <w:r w:rsidR="000C783F">
                              <w:rPr>
                                <w:highlight w:val="yellow"/>
                              </w:rPr>
                              <w:t>]</w:t>
                            </w:r>
                            <w:r w:rsidRPr="00862BFD">
                              <w:rPr>
                                <w:highlight w:val="yellow"/>
                              </w:rPr>
                              <w:t xml:space="preserve"> </w:t>
                            </w:r>
                            <w:r w:rsidR="000C783F">
                              <w:rPr>
                                <w:highlight w:val="yellow"/>
                              </w:rPr>
                              <w:t>[</w:t>
                            </w:r>
                            <w:r w:rsidRPr="00862BFD">
                              <w:rPr>
                                <w:highlight w:val="yellow"/>
                              </w:rPr>
                              <w:t>fewer childcare places</w:t>
                            </w:r>
                            <w:r w:rsidR="000C783F">
                              <w:t>]</w:t>
                            </w:r>
                            <w:r w:rsidR="00862BFD">
                              <w:t>,</w:t>
                            </w:r>
                            <w:r w:rsidRPr="009377B9">
                              <w:t xml:space="preserve"> and </w:t>
                            </w:r>
                            <w:r w:rsidR="000C783F">
                              <w:t>[</w:t>
                            </w:r>
                            <w:r w:rsidRPr="00862BFD">
                              <w:rPr>
                                <w:highlight w:val="yellow"/>
                              </w:rPr>
                              <w:t>7,566</w:t>
                            </w:r>
                            <w:r w:rsidR="000C783F">
                              <w:rPr>
                                <w:highlight w:val="yellow"/>
                              </w:rPr>
                              <w:t>]</w:t>
                            </w:r>
                            <w:r w:rsidRPr="00862BFD">
                              <w:rPr>
                                <w:highlight w:val="yellow"/>
                              </w:rPr>
                              <w:t xml:space="preserve"> </w:t>
                            </w:r>
                            <w:r w:rsidR="000C783F">
                              <w:rPr>
                                <w:highlight w:val="yellow"/>
                              </w:rPr>
                              <w:t>[</w:t>
                            </w:r>
                            <w:r w:rsidRPr="00862BFD">
                              <w:rPr>
                                <w:highlight w:val="yellow"/>
                              </w:rPr>
                              <w:t>childcare providers</w:t>
                            </w:r>
                            <w:r w:rsidRPr="009377B9">
                              <w:t xml:space="preserve"> </w:t>
                            </w:r>
                            <w:r w:rsidRPr="000C783F">
                              <w:rPr>
                                <w:highlight w:val="yellow"/>
                              </w:rPr>
                              <w:t>left</w:t>
                            </w:r>
                            <w:r w:rsidR="000C783F">
                              <w:t>]</w:t>
                            </w:r>
                            <w:r w:rsidRPr="009377B9">
                              <w:t xml:space="preserve"> the sector in March 2021 compared to August 2020.</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7D65D0" id="_x0000_t202" coordsize="21600,21600" o:spt="202" path="m,l,21600r21600,l21600,xe">
                <v:stroke joinstyle="miter"/>
                <v:path gradientshapeok="t" o:connecttype="rect"/>
              </v:shapetype>
              <v:shape id="Text Box 1" o:spid="_x0000_s1026" type="#_x0000_t202" style="position:absolute;margin-left:-9.5pt;margin-top:9.05pt;width:482pt;height:6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" fillcolor="white [3201]" strokeweight=".5pt">
                <v:textbox>
                  <w:txbxContent>
                    <w:p w14:paraId="4B7D94EC" w14:textId="77777777" w:rsidR="006E098A" w:rsidRDefault="006E098A" w:rsidP="006E098A">
                      <w:r w:rsidRPr="009377B9">
                        <w:t xml:space="preserve">Childcare is the single most important driver of the gender pay and labour market participation gap. The current childcare system in the UK is expensive and formal provision is patchy. </w:t>
                      </w:r>
                    </w:p>
                    <w:p w14:paraId="2BC71221" w14:textId="77777777" w:rsidR="006E098A" w:rsidRDefault="006E098A" w:rsidP="006E098A"/>
                    <w:p w14:paraId="0F0F4127" w14:textId="77777777" w:rsidR="006E098A" w:rsidRPr="00446AAE" w:rsidRDefault="006E098A" w:rsidP="006E098A">
                      <w:pPr>
                        <w:shd w:val="clear" w:color="auto" w:fill="D9E2F3" w:themeFill="accent1" w:themeFillTint="33"/>
                        <w:rPr>
                          <w:b/>
                          <w:bCs/>
                          <w:sz w:val="32"/>
                          <w:szCs w:val="32"/>
                        </w:rPr>
                      </w:pPr>
                      <w:r w:rsidRPr="00446AAE">
                        <w:rPr>
                          <w:b/>
                          <w:bCs/>
                          <w:sz w:val="32"/>
                          <w:szCs w:val="32"/>
                        </w:rPr>
                        <w:t>Availability</w:t>
                      </w:r>
                    </w:p>
                    <w:p w14:paraId="57431B61" w14:textId="77777777" w:rsidR="006E098A" w:rsidRDefault="006E098A" w:rsidP="006E098A"/>
                    <w:p w14:paraId="447E4A81" w14:textId="032DBB31" w:rsidR="006E098A" w:rsidRDefault="006E098A" w:rsidP="006E098A">
                      <w:r w:rsidRPr="009377B9">
                        <w:t xml:space="preserve">Across Great Britain, the level of childcare available varies by region and the type of childcare required, heavily depending on the age of the child. For example, in </w:t>
                      </w:r>
                      <w:r w:rsidR="008E09DD">
                        <w:t>[</w:t>
                      </w:r>
                      <w:r w:rsidRPr="006E098A">
                        <w:rPr>
                          <w:highlight w:val="yellow"/>
                        </w:rPr>
                        <w:t>England</w:t>
                      </w:r>
                      <w:r w:rsidR="008E09DD">
                        <w:t>]</w:t>
                      </w:r>
                      <w:r w:rsidRPr="009377B9">
                        <w:t xml:space="preserve">, </w:t>
                      </w:r>
                      <w:r w:rsidR="008E09DD">
                        <w:t>[</w:t>
                      </w:r>
                      <w:r w:rsidRPr="006E098A">
                        <w:rPr>
                          <w:highlight w:val="yellow"/>
                        </w:rPr>
                        <w:t>72%</w:t>
                      </w:r>
                      <w:r w:rsidR="008E09DD">
                        <w:t>]</w:t>
                      </w:r>
                      <w:r w:rsidRPr="009377B9">
                        <w:t xml:space="preserve"> of local authorities report that there is enough childcare for children under two, and in </w:t>
                      </w:r>
                      <w:r w:rsidR="008E09DD">
                        <w:t>[</w:t>
                      </w:r>
                      <w:r w:rsidRPr="006E098A">
                        <w:rPr>
                          <w:highlight w:val="yellow"/>
                        </w:rPr>
                        <w:t>Scotland</w:t>
                      </w:r>
                      <w:r w:rsidR="008E09DD">
                        <w:t>]</w:t>
                      </w:r>
                      <w:r w:rsidRPr="009377B9">
                        <w:t xml:space="preserve"> </w:t>
                      </w:r>
                      <w:r w:rsidR="008E09DD">
                        <w:t>[</w:t>
                      </w:r>
                      <w:r w:rsidRPr="006E098A">
                        <w:rPr>
                          <w:highlight w:val="yellow"/>
                        </w:rPr>
                        <w:t>81%</w:t>
                      </w:r>
                      <w:r w:rsidR="008E09DD">
                        <w:t>]</w:t>
                      </w:r>
                      <w:r w:rsidRPr="009377B9">
                        <w:t xml:space="preserve"> of local authorities have enough free-entitlement childcare for </w:t>
                      </w:r>
                      <w:proofErr w:type="gramStart"/>
                      <w:r w:rsidRPr="009377B9">
                        <w:t>3-4 year olds</w:t>
                      </w:r>
                      <w:proofErr w:type="gramEnd"/>
                      <w:r w:rsidRPr="009377B9">
                        <w:t xml:space="preserve">, but things are much harder for the parents of disabled children with only </w:t>
                      </w:r>
                      <w:r w:rsidR="002A2E6B">
                        <w:t>[</w:t>
                      </w:r>
                      <w:r w:rsidRPr="002A2E6B">
                        <w:rPr>
                          <w:highlight w:val="yellow"/>
                        </w:rPr>
                        <w:t>25%</w:t>
                      </w:r>
                      <w:r w:rsidR="002A2E6B">
                        <w:t>]</w:t>
                      </w:r>
                      <w:r w:rsidRPr="009377B9">
                        <w:t xml:space="preserve"> of local authorities reporting sufficient childcare for disabled children. </w:t>
                      </w:r>
                      <w:r w:rsidR="008E09DD">
                        <w:t>[</w:t>
                      </w:r>
                      <w:r w:rsidRPr="00862BFD">
                        <w:rPr>
                          <w:highlight w:val="yellow"/>
                        </w:rPr>
                        <w:t>41%</w:t>
                      </w:r>
                      <w:r w:rsidR="008E09DD">
                        <w:t>]</w:t>
                      </w:r>
                      <w:r w:rsidRPr="009377B9">
                        <w:t xml:space="preserve"> of local authorities in </w:t>
                      </w:r>
                      <w:r w:rsidR="008E09DD">
                        <w:t>[</w:t>
                      </w:r>
                      <w:r w:rsidRPr="00862BFD">
                        <w:rPr>
                          <w:highlight w:val="yellow"/>
                        </w:rPr>
                        <w:t>Wales</w:t>
                      </w:r>
                      <w:r w:rsidR="008E09DD">
                        <w:t>]</w:t>
                      </w:r>
                      <w:r w:rsidRPr="009377B9">
                        <w:t xml:space="preserve"> also report that that there is not enough childcare for children of parents working atypical hours. </w:t>
                      </w:r>
                    </w:p>
                    <w:p w14:paraId="3BFD10C7" w14:textId="77777777" w:rsidR="006E098A" w:rsidRDefault="006E098A" w:rsidP="006E098A"/>
                    <w:p w14:paraId="76797AEE" w14:textId="77777777" w:rsidR="006E098A" w:rsidRPr="00446AAE" w:rsidRDefault="006E098A" w:rsidP="006E098A">
                      <w:pPr>
                        <w:shd w:val="clear" w:color="auto" w:fill="D9E2F3" w:themeFill="accent1" w:themeFillTint="33"/>
                        <w:rPr>
                          <w:b/>
                          <w:bCs/>
                          <w:sz w:val="36"/>
                          <w:szCs w:val="36"/>
                        </w:rPr>
                      </w:pPr>
                      <w:r w:rsidRPr="00446AAE">
                        <w:rPr>
                          <w:b/>
                          <w:bCs/>
                          <w:sz w:val="32"/>
                          <w:szCs w:val="32"/>
                        </w:rPr>
                        <w:t>Affordability</w:t>
                      </w:r>
                    </w:p>
                    <w:p w14:paraId="2D6DF818" w14:textId="77777777" w:rsidR="006E098A" w:rsidRDefault="006E098A" w:rsidP="006E098A"/>
                    <w:p w14:paraId="6ED37F77" w14:textId="2EB01B4A" w:rsidR="006E098A" w:rsidRPr="009377B9" w:rsidRDefault="006E098A" w:rsidP="006E098A">
                      <w:r w:rsidRPr="009377B9">
                        <w:t xml:space="preserve">Childcare is more expensive for younger children: part-time and full-time childcare for under 2-year-olds absorbs </w:t>
                      </w:r>
                      <w:r w:rsidR="008E09DD">
                        <w:t>[</w:t>
                      </w:r>
                      <w:r w:rsidRPr="00862BFD">
                        <w:rPr>
                          <w:highlight w:val="yellow"/>
                        </w:rPr>
                        <w:t>at least half</w:t>
                      </w:r>
                      <w:r w:rsidR="008E09DD">
                        <w:t>]</w:t>
                      </w:r>
                      <w:r w:rsidRPr="009377B9">
                        <w:t xml:space="preserve"> of women’s median earnings in </w:t>
                      </w:r>
                      <w:r w:rsidR="008E09DD">
                        <w:t>[</w:t>
                      </w:r>
                      <w:r w:rsidRPr="00862BFD">
                        <w:rPr>
                          <w:highlight w:val="yellow"/>
                        </w:rPr>
                        <w:t>Great Britain</w:t>
                      </w:r>
                      <w:r w:rsidR="008E09DD">
                        <w:t>]</w:t>
                      </w:r>
                      <w:r w:rsidRPr="009377B9">
                        <w:t xml:space="preserve">. State support for 3- and 4-year-olds makes a huge difference to affordability but childcare for this age group is still between </w:t>
                      </w:r>
                      <w:r w:rsidR="008E09DD">
                        <w:t>[</w:t>
                      </w:r>
                      <w:r w:rsidRPr="00862BFD">
                        <w:rPr>
                          <w:highlight w:val="yellow"/>
                        </w:rPr>
                        <w:t>a fifth</w:t>
                      </w:r>
                      <w:r w:rsidR="008E09DD">
                        <w:t>]</w:t>
                      </w:r>
                      <w:r w:rsidRPr="009377B9">
                        <w:t xml:space="preserve"> and </w:t>
                      </w:r>
                      <w:r w:rsidR="008E09DD">
                        <w:t>[</w:t>
                      </w:r>
                      <w:r w:rsidRPr="00862BFD">
                        <w:rPr>
                          <w:highlight w:val="yellow"/>
                        </w:rPr>
                        <w:t>a quarter</w:t>
                      </w:r>
                      <w:r w:rsidR="008E09DD">
                        <w:t>]</w:t>
                      </w:r>
                      <w:r w:rsidRPr="009377B9">
                        <w:t xml:space="preserve"> of women’s salaries.</w:t>
                      </w:r>
                    </w:p>
                    <w:p w14:paraId="42CDF4C3" w14:textId="77777777" w:rsidR="006E098A" w:rsidRPr="009377B9" w:rsidRDefault="006E098A" w:rsidP="006E098A"/>
                    <w:tbl>
                      <w:tblPr>
                        <w:tblW w:w="9226" w:type="dxa"/>
                        <w:tblInd w:w="-5" w:type="dxa"/>
                        <w:tblLook w:val="04A0" w:firstRow="1" w:lastRow="0" w:firstColumn="1" w:lastColumn="0" w:noHBand="0" w:noVBand="1"/>
                      </w:tblPr>
                      <w:tblGrid>
                        <w:gridCol w:w="3798"/>
                        <w:gridCol w:w="1284"/>
                        <w:gridCol w:w="2072"/>
                        <w:gridCol w:w="2072"/>
                      </w:tblGrid>
                      <w:tr w:rsidR="006E098A" w:rsidRPr="009377B9" w14:paraId="78A5F162" w14:textId="77777777" w:rsidTr="004378FA">
                        <w:trPr>
                          <w:trHeight w:val="1265"/>
                        </w:trPr>
                        <w:tc>
                          <w:tcPr>
                            <w:tcW w:w="50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233B27B" w14:textId="4F8706B5" w:rsidR="006E098A" w:rsidRPr="009377B9" w:rsidRDefault="006E098A" w:rsidP="0024648B">
                            <w:pPr>
                              <w:rPr>
                                <w:rFonts w:ascii="Calibri" w:eastAsia="Times New Roman" w:hAnsi="Calibri" w:cs="Calibri"/>
                                <w:b/>
                                <w:bCs/>
                                <w:color w:val="000000"/>
                              </w:rPr>
                            </w:pPr>
                            <w:r w:rsidRPr="009377B9">
                              <w:rPr>
                                <w:rFonts w:ascii="Calibri" w:eastAsia="Times New Roman" w:hAnsi="Calibri" w:cs="Calibri"/>
                                <w:b/>
                                <w:bCs/>
                                <w:color w:val="000000"/>
                              </w:rPr>
                              <w:t xml:space="preserve">Childcare costs in </w:t>
                            </w:r>
                            <w:r w:rsidR="008E09DD">
                              <w:rPr>
                                <w:rFonts w:ascii="Calibri" w:eastAsia="Times New Roman" w:hAnsi="Calibri" w:cs="Calibri"/>
                                <w:b/>
                                <w:bCs/>
                                <w:color w:val="000000"/>
                              </w:rPr>
                              <w:t>[</w:t>
                            </w:r>
                            <w:r w:rsidRPr="00862BFD">
                              <w:rPr>
                                <w:rFonts w:ascii="Calibri" w:eastAsia="Times New Roman" w:hAnsi="Calibri" w:cs="Calibri"/>
                                <w:b/>
                                <w:bCs/>
                                <w:color w:val="000000"/>
                                <w:highlight w:val="yellow"/>
                              </w:rPr>
                              <w:t>Great Britain</w:t>
                            </w:r>
                            <w:r w:rsidR="008E09DD">
                              <w:rPr>
                                <w:rFonts w:ascii="Calibri" w:eastAsia="Times New Roman" w:hAnsi="Calibri" w:cs="Calibri"/>
                                <w:b/>
                                <w:bCs/>
                                <w:color w:val="000000"/>
                              </w:rPr>
                              <w:t>]</w:t>
                            </w:r>
                            <w:r w:rsidRPr="009377B9">
                              <w:rPr>
                                <w:rFonts w:ascii="Calibri" w:eastAsia="Times New Roman" w:hAnsi="Calibri" w:cs="Calibri"/>
                                <w:b/>
                                <w:bCs/>
                                <w:color w:val="000000"/>
                              </w:rPr>
                              <w:t xml:space="preserve"> for children in Nursery (per year)</w:t>
                            </w:r>
                          </w:p>
                        </w:tc>
                        <w:tc>
                          <w:tcPr>
                            <w:tcW w:w="2072" w:type="dxa"/>
                            <w:tcBorders>
                              <w:top w:val="single" w:sz="4" w:space="0" w:color="auto"/>
                              <w:left w:val="nil"/>
                              <w:bottom w:val="single" w:sz="4" w:space="0" w:color="auto"/>
                              <w:right w:val="single" w:sz="4" w:space="0" w:color="auto"/>
                            </w:tcBorders>
                            <w:shd w:val="clear" w:color="auto" w:fill="auto"/>
                            <w:vAlign w:val="bottom"/>
                            <w:hideMark/>
                          </w:tcPr>
                          <w:p w14:paraId="44530A20" w14:textId="77777777" w:rsidR="006E098A" w:rsidRPr="009377B9" w:rsidRDefault="006E098A" w:rsidP="0024648B">
                            <w:pPr>
                              <w:jc w:val="center"/>
                              <w:rPr>
                                <w:rFonts w:ascii="Calibri" w:eastAsia="Times New Roman" w:hAnsi="Calibri" w:cs="Calibri"/>
                                <w:b/>
                                <w:bCs/>
                                <w:color w:val="000000"/>
                              </w:rPr>
                            </w:pPr>
                            <w:r w:rsidRPr="009377B9">
                              <w:rPr>
                                <w:rFonts w:ascii="Calibri" w:eastAsia="Times New Roman" w:hAnsi="Calibri" w:cs="Calibri"/>
                                <w:b/>
                                <w:bCs/>
                                <w:color w:val="000000"/>
                              </w:rPr>
                              <w:t>Women's Median earnings (per year)</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14:paraId="40B847C4" w14:textId="77777777" w:rsidR="006E098A" w:rsidRPr="009377B9" w:rsidRDefault="006E098A" w:rsidP="0024648B">
                            <w:pPr>
                              <w:jc w:val="center"/>
                              <w:rPr>
                                <w:rFonts w:ascii="Calibri" w:eastAsia="Times New Roman" w:hAnsi="Calibri" w:cs="Calibri"/>
                                <w:b/>
                                <w:bCs/>
                                <w:color w:val="000000"/>
                              </w:rPr>
                            </w:pPr>
                            <w:r w:rsidRPr="009377B9">
                              <w:rPr>
                                <w:rFonts w:ascii="Calibri" w:eastAsia="Times New Roman" w:hAnsi="Calibri" w:cs="Calibri"/>
                                <w:b/>
                                <w:bCs/>
                                <w:color w:val="000000"/>
                              </w:rPr>
                              <w:t xml:space="preserve">% </w:t>
                            </w:r>
                            <w:proofErr w:type="gramStart"/>
                            <w:r w:rsidRPr="009377B9">
                              <w:rPr>
                                <w:rFonts w:ascii="Calibri" w:eastAsia="Times New Roman" w:hAnsi="Calibri" w:cs="Calibri"/>
                                <w:b/>
                                <w:bCs/>
                                <w:color w:val="000000"/>
                              </w:rPr>
                              <w:t>of</w:t>
                            </w:r>
                            <w:proofErr w:type="gramEnd"/>
                            <w:r w:rsidRPr="009377B9">
                              <w:rPr>
                                <w:rFonts w:ascii="Calibri" w:eastAsia="Times New Roman" w:hAnsi="Calibri" w:cs="Calibri"/>
                                <w:b/>
                                <w:bCs/>
                                <w:color w:val="000000"/>
                              </w:rPr>
                              <w:t xml:space="preserve"> women’s earnings absorbed by childcare</w:t>
                            </w:r>
                          </w:p>
                        </w:tc>
                      </w:tr>
                      <w:tr w:rsidR="006E098A" w:rsidRPr="009377B9" w14:paraId="1C5503B1" w14:textId="77777777" w:rsidTr="004378FA">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112A2BE0" w14:textId="77777777" w:rsidR="006E098A" w:rsidRPr="009377B9" w:rsidRDefault="006E098A" w:rsidP="0024648B">
                            <w:pPr>
                              <w:rPr>
                                <w:rFonts w:ascii="Calibri" w:eastAsia="Times New Roman" w:hAnsi="Calibri" w:cs="Calibri"/>
                                <w:color w:val="000000"/>
                              </w:rPr>
                            </w:pPr>
                            <w:r w:rsidRPr="009377B9">
                              <w:rPr>
                                <w:rFonts w:ascii="Calibri" w:eastAsia="Times New Roman" w:hAnsi="Calibri" w:cs="Calibri"/>
                                <w:color w:val="000000"/>
                              </w:rPr>
                              <w:t>&lt; 2-year-olds (part-time)</w:t>
                            </w:r>
                          </w:p>
                        </w:tc>
                        <w:tc>
                          <w:tcPr>
                            <w:tcW w:w="1284" w:type="dxa"/>
                            <w:tcBorders>
                              <w:top w:val="nil"/>
                              <w:left w:val="nil"/>
                              <w:bottom w:val="single" w:sz="4" w:space="0" w:color="auto"/>
                              <w:right w:val="single" w:sz="4" w:space="0" w:color="auto"/>
                            </w:tcBorders>
                            <w:shd w:val="clear" w:color="auto" w:fill="auto"/>
                            <w:noWrap/>
                            <w:vAlign w:val="bottom"/>
                            <w:hideMark/>
                          </w:tcPr>
                          <w:p w14:paraId="19E1D9D0" w14:textId="05975B49"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£7,160</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72" w:type="dxa"/>
                            <w:tcBorders>
                              <w:top w:val="nil"/>
                              <w:left w:val="nil"/>
                              <w:bottom w:val="single" w:sz="4" w:space="0" w:color="auto"/>
                              <w:right w:val="single" w:sz="4" w:space="0" w:color="auto"/>
                            </w:tcBorders>
                            <w:shd w:val="clear" w:color="auto" w:fill="auto"/>
                            <w:noWrap/>
                            <w:vAlign w:val="bottom"/>
                            <w:hideMark/>
                          </w:tcPr>
                          <w:p w14:paraId="086DC533" w14:textId="7E774D6B"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£11,324</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72" w:type="dxa"/>
                            <w:tcBorders>
                              <w:top w:val="nil"/>
                              <w:left w:val="nil"/>
                              <w:bottom w:val="single" w:sz="4" w:space="0" w:color="auto"/>
                              <w:right w:val="single" w:sz="4" w:space="0" w:color="auto"/>
                            </w:tcBorders>
                            <w:shd w:val="clear" w:color="auto" w:fill="auto"/>
                            <w:noWrap/>
                            <w:vAlign w:val="bottom"/>
                            <w:hideMark/>
                          </w:tcPr>
                          <w:p w14:paraId="7632F7B0" w14:textId="3B1D5219"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63%</w:t>
                            </w:r>
                            <w:r>
                              <w:rPr>
                                <w:rFonts w:ascii="Calibri" w:eastAsia="Times New Roman" w:hAnsi="Calibri" w:cs="Calibri"/>
                                <w:color w:val="000000"/>
                              </w:rPr>
                              <w:t>]</w:t>
                            </w:r>
                          </w:p>
                        </w:tc>
                      </w:tr>
                      <w:tr w:rsidR="006E098A" w:rsidRPr="009377B9" w14:paraId="36C6665B" w14:textId="77777777" w:rsidTr="004378FA">
                        <w:trPr>
                          <w:trHeight w:val="397"/>
                        </w:trPr>
                        <w:tc>
                          <w:tcPr>
                            <w:tcW w:w="3798" w:type="dxa"/>
                            <w:tcBorders>
                              <w:top w:val="nil"/>
                              <w:left w:val="single" w:sz="4" w:space="0" w:color="auto"/>
                              <w:bottom w:val="single" w:sz="4" w:space="0" w:color="auto"/>
                              <w:right w:val="single" w:sz="4" w:space="0" w:color="auto"/>
                            </w:tcBorders>
                            <w:shd w:val="clear" w:color="auto" w:fill="auto"/>
                            <w:noWrap/>
                            <w:vAlign w:val="bottom"/>
                            <w:hideMark/>
                          </w:tcPr>
                          <w:p w14:paraId="047B4E62" w14:textId="77777777" w:rsidR="006E098A" w:rsidRPr="009377B9" w:rsidRDefault="006E098A" w:rsidP="0024648B">
                            <w:pPr>
                              <w:rPr>
                                <w:rFonts w:ascii="Calibri" w:eastAsia="Times New Roman" w:hAnsi="Calibri" w:cs="Calibri"/>
                                <w:color w:val="000000"/>
                              </w:rPr>
                            </w:pPr>
                            <w:r w:rsidRPr="009377B9">
                              <w:rPr>
                                <w:rFonts w:ascii="Calibri" w:eastAsia="Times New Roman" w:hAnsi="Calibri" w:cs="Calibri"/>
                                <w:color w:val="000000"/>
                              </w:rPr>
                              <w:t>&lt; 2-year-olds (full-time)</w:t>
                            </w:r>
                          </w:p>
                        </w:tc>
                        <w:tc>
                          <w:tcPr>
                            <w:tcW w:w="1284" w:type="dxa"/>
                            <w:tcBorders>
                              <w:top w:val="nil"/>
                              <w:left w:val="nil"/>
                              <w:bottom w:val="single" w:sz="4" w:space="0" w:color="auto"/>
                              <w:right w:val="single" w:sz="4" w:space="0" w:color="auto"/>
                            </w:tcBorders>
                            <w:shd w:val="clear" w:color="auto" w:fill="auto"/>
                            <w:noWrap/>
                            <w:vAlign w:val="bottom"/>
                            <w:hideMark/>
                          </w:tcPr>
                          <w:p w14:paraId="097AB81B" w14:textId="7D7C213C"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£13,718</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72" w:type="dxa"/>
                            <w:tcBorders>
                              <w:top w:val="nil"/>
                              <w:left w:val="nil"/>
                              <w:bottom w:val="single" w:sz="4" w:space="0" w:color="auto"/>
                              <w:right w:val="single" w:sz="4" w:space="0" w:color="auto"/>
                            </w:tcBorders>
                            <w:shd w:val="clear" w:color="auto" w:fill="auto"/>
                            <w:noWrap/>
                            <w:vAlign w:val="bottom"/>
                            <w:hideMark/>
                          </w:tcPr>
                          <w:p w14:paraId="43F5A79E" w14:textId="4BAA8E8B"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£28,021</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72" w:type="dxa"/>
                            <w:tcBorders>
                              <w:top w:val="nil"/>
                              <w:left w:val="nil"/>
                              <w:bottom w:val="single" w:sz="4" w:space="0" w:color="auto"/>
                              <w:right w:val="single" w:sz="4" w:space="0" w:color="auto"/>
                            </w:tcBorders>
                            <w:shd w:val="clear" w:color="auto" w:fill="auto"/>
                            <w:noWrap/>
                            <w:vAlign w:val="bottom"/>
                            <w:hideMark/>
                          </w:tcPr>
                          <w:p w14:paraId="422C4100" w14:textId="222082E3"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49%</w:t>
                            </w:r>
                            <w:r>
                              <w:rPr>
                                <w:rFonts w:ascii="Calibri" w:eastAsia="Times New Roman" w:hAnsi="Calibri" w:cs="Calibri"/>
                                <w:color w:val="000000"/>
                              </w:rPr>
                              <w:t>]</w:t>
                            </w:r>
                          </w:p>
                        </w:tc>
                      </w:tr>
                    </w:tbl>
                    <w:p w14:paraId="7451843A" w14:textId="77777777" w:rsidR="006E098A" w:rsidRPr="009377B9" w:rsidRDefault="006E098A" w:rsidP="006E098A">
                      <w:pPr>
                        <w:rPr>
                          <w:b/>
                          <w:bCs/>
                          <w:sz w:val="28"/>
                          <w:szCs w:val="28"/>
                        </w:rPr>
                      </w:pPr>
                    </w:p>
                    <w:tbl>
                      <w:tblPr>
                        <w:tblW w:w="9207" w:type="dxa"/>
                        <w:tblLook w:val="04A0" w:firstRow="1" w:lastRow="0" w:firstColumn="1" w:lastColumn="0" w:noHBand="0" w:noVBand="1"/>
                      </w:tblPr>
                      <w:tblGrid>
                        <w:gridCol w:w="3944"/>
                        <w:gridCol w:w="1127"/>
                        <w:gridCol w:w="2068"/>
                        <w:gridCol w:w="2068"/>
                      </w:tblGrid>
                      <w:tr w:rsidR="006E098A" w:rsidRPr="009377B9" w14:paraId="65E7A864" w14:textId="77777777" w:rsidTr="004378FA">
                        <w:trPr>
                          <w:trHeight w:val="1032"/>
                        </w:trPr>
                        <w:tc>
                          <w:tcPr>
                            <w:tcW w:w="507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764A96BC" w14:textId="34B3B223" w:rsidR="006E098A" w:rsidRPr="009377B9" w:rsidRDefault="006E098A" w:rsidP="0024648B">
                            <w:pPr>
                              <w:rPr>
                                <w:rFonts w:ascii="Calibri" w:eastAsia="Times New Roman" w:hAnsi="Calibri" w:cs="Calibri"/>
                                <w:b/>
                                <w:bCs/>
                                <w:color w:val="000000"/>
                              </w:rPr>
                            </w:pPr>
                            <w:r w:rsidRPr="009377B9">
                              <w:rPr>
                                <w:rFonts w:ascii="Calibri" w:eastAsia="Times New Roman" w:hAnsi="Calibri" w:cs="Calibri"/>
                                <w:b/>
                                <w:bCs/>
                                <w:color w:val="000000"/>
                              </w:rPr>
                              <w:t xml:space="preserve">Childcare costs in </w:t>
                            </w:r>
                            <w:r w:rsidR="008E09DD">
                              <w:rPr>
                                <w:rFonts w:ascii="Calibri" w:eastAsia="Times New Roman" w:hAnsi="Calibri" w:cs="Calibri"/>
                                <w:b/>
                                <w:bCs/>
                                <w:color w:val="000000"/>
                              </w:rPr>
                              <w:t>[</w:t>
                            </w:r>
                            <w:r w:rsidRPr="00862BFD">
                              <w:rPr>
                                <w:rFonts w:ascii="Calibri" w:eastAsia="Times New Roman" w:hAnsi="Calibri" w:cs="Calibri"/>
                                <w:b/>
                                <w:bCs/>
                                <w:color w:val="000000"/>
                                <w:highlight w:val="yellow"/>
                              </w:rPr>
                              <w:t>England</w:t>
                            </w:r>
                            <w:r w:rsidR="008E09DD">
                              <w:rPr>
                                <w:rFonts w:ascii="Calibri" w:eastAsia="Times New Roman" w:hAnsi="Calibri" w:cs="Calibri"/>
                                <w:b/>
                                <w:bCs/>
                                <w:color w:val="000000"/>
                              </w:rPr>
                              <w:t>]</w:t>
                            </w:r>
                            <w:r w:rsidRPr="009377B9">
                              <w:rPr>
                                <w:rFonts w:ascii="Calibri" w:eastAsia="Times New Roman" w:hAnsi="Calibri" w:cs="Calibri"/>
                                <w:b/>
                                <w:bCs/>
                                <w:color w:val="000000"/>
                              </w:rPr>
                              <w:t xml:space="preserve"> for children in Nursery (per year)</w:t>
                            </w:r>
                          </w:p>
                        </w:tc>
                        <w:tc>
                          <w:tcPr>
                            <w:tcW w:w="2068" w:type="dxa"/>
                            <w:tcBorders>
                              <w:top w:val="single" w:sz="4" w:space="0" w:color="auto"/>
                              <w:left w:val="nil"/>
                              <w:bottom w:val="single" w:sz="4" w:space="0" w:color="auto"/>
                              <w:right w:val="single" w:sz="4" w:space="0" w:color="auto"/>
                            </w:tcBorders>
                            <w:shd w:val="clear" w:color="auto" w:fill="auto"/>
                            <w:vAlign w:val="bottom"/>
                            <w:hideMark/>
                          </w:tcPr>
                          <w:p w14:paraId="26859944" w14:textId="77777777" w:rsidR="006E098A" w:rsidRPr="009377B9" w:rsidRDefault="006E098A" w:rsidP="0024648B">
                            <w:pPr>
                              <w:jc w:val="center"/>
                              <w:rPr>
                                <w:rFonts w:ascii="Calibri" w:eastAsia="Times New Roman" w:hAnsi="Calibri" w:cs="Calibri"/>
                                <w:b/>
                                <w:bCs/>
                                <w:color w:val="000000"/>
                              </w:rPr>
                            </w:pPr>
                            <w:r w:rsidRPr="009377B9">
                              <w:rPr>
                                <w:rFonts w:ascii="Calibri" w:eastAsia="Times New Roman" w:hAnsi="Calibri" w:cs="Calibri"/>
                                <w:b/>
                                <w:bCs/>
                                <w:color w:val="000000"/>
                              </w:rPr>
                              <w:t>Women's Median earnings (per year)</w:t>
                            </w:r>
                          </w:p>
                        </w:tc>
                        <w:tc>
                          <w:tcPr>
                            <w:tcW w:w="2068" w:type="dxa"/>
                            <w:tcBorders>
                              <w:top w:val="single" w:sz="4" w:space="0" w:color="auto"/>
                              <w:left w:val="nil"/>
                              <w:bottom w:val="single" w:sz="4" w:space="0" w:color="auto"/>
                              <w:right w:val="single" w:sz="4" w:space="0" w:color="auto"/>
                            </w:tcBorders>
                            <w:shd w:val="clear" w:color="auto" w:fill="auto"/>
                            <w:vAlign w:val="center"/>
                            <w:hideMark/>
                          </w:tcPr>
                          <w:p w14:paraId="6E559FFD" w14:textId="77777777" w:rsidR="006E098A" w:rsidRPr="009377B9" w:rsidRDefault="006E098A" w:rsidP="0024648B">
                            <w:pPr>
                              <w:jc w:val="center"/>
                              <w:rPr>
                                <w:rFonts w:ascii="Calibri" w:eastAsia="Times New Roman" w:hAnsi="Calibri" w:cs="Calibri"/>
                                <w:b/>
                                <w:bCs/>
                                <w:color w:val="000000"/>
                              </w:rPr>
                            </w:pPr>
                            <w:r w:rsidRPr="009377B9">
                              <w:rPr>
                                <w:rFonts w:ascii="Calibri" w:eastAsia="Times New Roman" w:hAnsi="Calibri" w:cs="Calibri"/>
                                <w:b/>
                                <w:bCs/>
                                <w:color w:val="000000"/>
                              </w:rPr>
                              <w:t xml:space="preserve">% </w:t>
                            </w:r>
                            <w:proofErr w:type="gramStart"/>
                            <w:r w:rsidRPr="009377B9">
                              <w:rPr>
                                <w:rFonts w:ascii="Calibri" w:eastAsia="Times New Roman" w:hAnsi="Calibri" w:cs="Calibri"/>
                                <w:b/>
                                <w:bCs/>
                                <w:color w:val="000000"/>
                              </w:rPr>
                              <w:t>of</w:t>
                            </w:r>
                            <w:proofErr w:type="gramEnd"/>
                            <w:r w:rsidRPr="009377B9">
                              <w:rPr>
                                <w:rFonts w:ascii="Calibri" w:eastAsia="Times New Roman" w:hAnsi="Calibri" w:cs="Calibri"/>
                                <w:b/>
                                <w:bCs/>
                                <w:color w:val="000000"/>
                              </w:rPr>
                              <w:t xml:space="preserve"> women’s earnings absorbed by childcare</w:t>
                            </w:r>
                          </w:p>
                        </w:tc>
                      </w:tr>
                      <w:tr w:rsidR="006E098A" w:rsidRPr="009377B9" w14:paraId="10F6860C" w14:textId="77777777" w:rsidTr="004378FA">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0333EB5C" w14:textId="77777777" w:rsidR="006E098A" w:rsidRPr="009377B9" w:rsidRDefault="006E098A" w:rsidP="0024648B">
                            <w:pPr>
                              <w:rPr>
                                <w:rFonts w:ascii="Calibri" w:eastAsia="Times New Roman" w:hAnsi="Calibri" w:cs="Calibri"/>
                                <w:color w:val="000000"/>
                              </w:rPr>
                            </w:pPr>
                            <w:r w:rsidRPr="009377B9">
                              <w:rPr>
                                <w:rFonts w:ascii="Calibri" w:eastAsia="Times New Roman" w:hAnsi="Calibri" w:cs="Calibri"/>
                                <w:color w:val="000000"/>
                              </w:rPr>
                              <w:t>3-4-year-olds (part-time)</w:t>
                            </w:r>
                          </w:p>
                        </w:tc>
                        <w:tc>
                          <w:tcPr>
                            <w:tcW w:w="1126" w:type="dxa"/>
                            <w:tcBorders>
                              <w:top w:val="nil"/>
                              <w:left w:val="nil"/>
                              <w:bottom w:val="single" w:sz="4" w:space="0" w:color="auto"/>
                              <w:right w:val="single" w:sz="4" w:space="0" w:color="auto"/>
                            </w:tcBorders>
                            <w:shd w:val="clear" w:color="auto" w:fill="auto"/>
                            <w:noWrap/>
                            <w:vAlign w:val="bottom"/>
                            <w:hideMark/>
                          </w:tcPr>
                          <w:p w14:paraId="79D8D287" w14:textId="657A0FA2"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£2,727</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68" w:type="dxa"/>
                            <w:tcBorders>
                              <w:top w:val="nil"/>
                              <w:left w:val="nil"/>
                              <w:bottom w:val="single" w:sz="4" w:space="0" w:color="auto"/>
                              <w:right w:val="single" w:sz="4" w:space="0" w:color="auto"/>
                            </w:tcBorders>
                            <w:shd w:val="clear" w:color="auto" w:fill="auto"/>
                            <w:noWrap/>
                            <w:vAlign w:val="bottom"/>
                            <w:hideMark/>
                          </w:tcPr>
                          <w:p w14:paraId="0E118866" w14:textId="7AD01F78"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£11,226</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68" w:type="dxa"/>
                            <w:tcBorders>
                              <w:top w:val="nil"/>
                              <w:left w:val="nil"/>
                              <w:bottom w:val="single" w:sz="4" w:space="0" w:color="auto"/>
                              <w:right w:val="single" w:sz="4" w:space="0" w:color="auto"/>
                            </w:tcBorders>
                            <w:shd w:val="clear" w:color="auto" w:fill="auto"/>
                            <w:noWrap/>
                            <w:vAlign w:val="bottom"/>
                            <w:hideMark/>
                          </w:tcPr>
                          <w:p w14:paraId="51AA6521" w14:textId="2848FEEF"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24%</w:t>
                            </w:r>
                            <w:r>
                              <w:rPr>
                                <w:rFonts w:ascii="Calibri" w:eastAsia="Times New Roman" w:hAnsi="Calibri" w:cs="Calibri"/>
                                <w:color w:val="000000"/>
                              </w:rPr>
                              <w:t>]</w:t>
                            </w:r>
                          </w:p>
                        </w:tc>
                      </w:tr>
                      <w:tr w:rsidR="006E098A" w:rsidRPr="009377B9" w14:paraId="0A735AC4" w14:textId="77777777" w:rsidTr="004378FA">
                        <w:trPr>
                          <w:trHeight w:val="324"/>
                        </w:trPr>
                        <w:tc>
                          <w:tcPr>
                            <w:tcW w:w="3944" w:type="dxa"/>
                            <w:tcBorders>
                              <w:top w:val="nil"/>
                              <w:left w:val="single" w:sz="4" w:space="0" w:color="auto"/>
                              <w:bottom w:val="single" w:sz="4" w:space="0" w:color="auto"/>
                              <w:right w:val="single" w:sz="4" w:space="0" w:color="auto"/>
                            </w:tcBorders>
                            <w:shd w:val="clear" w:color="auto" w:fill="auto"/>
                            <w:noWrap/>
                            <w:vAlign w:val="bottom"/>
                            <w:hideMark/>
                          </w:tcPr>
                          <w:p w14:paraId="5C8132C7" w14:textId="77777777" w:rsidR="006E098A" w:rsidRPr="009377B9" w:rsidRDefault="006E098A" w:rsidP="0024648B">
                            <w:pPr>
                              <w:rPr>
                                <w:rFonts w:ascii="Calibri" w:eastAsia="Times New Roman" w:hAnsi="Calibri" w:cs="Calibri"/>
                                <w:color w:val="000000"/>
                              </w:rPr>
                            </w:pPr>
                            <w:r w:rsidRPr="009377B9">
                              <w:rPr>
                                <w:rFonts w:ascii="Calibri" w:eastAsia="Times New Roman" w:hAnsi="Calibri" w:cs="Calibri"/>
                                <w:color w:val="000000"/>
                              </w:rPr>
                              <w:t>3-4-year-olds (full-time)</w:t>
                            </w:r>
                          </w:p>
                        </w:tc>
                        <w:tc>
                          <w:tcPr>
                            <w:tcW w:w="1126" w:type="dxa"/>
                            <w:tcBorders>
                              <w:top w:val="nil"/>
                              <w:left w:val="nil"/>
                              <w:bottom w:val="single" w:sz="4" w:space="0" w:color="auto"/>
                              <w:right w:val="single" w:sz="4" w:space="0" w:color="auto"/>
                            </w:tcBorders>
                            <w:shd w:val="clear" w:color="auto" w:fill="auto"/>
                            <w:noWrap/>
                            <w:vAlign w:val="bottom"/>
                            <w:hideMark/>
                          </w:tcPr>
                          <w:p w14:paraId="6385F3E0" w14:textId="04AC6A63"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£5,282</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68" w:type="dxa"/>
                            <w:tcBorders>
                              <w:top w:val="nil"/>
                              <w:left w:val="nil"/>
                              <w:bottom w:val="single" w:sz="4" w:space="0" w:color="auto"/>
                              <w:right w:val="single" w:sz="4" w:space="0" w:color="auto"/>
                            </w:tcBorders>
                            <w:shd w:val="clear" w:color="auto" w:fill="auto"/>
                            <w:noWrap/>
                            <w:vAlign w:val="bottom"/>
                            <w:hideMark/>
                          </w:tcPr>
                          <w:p w14:paraId="24E9D4AF" w14:textId="4561399E"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£28,077</w:t>
                            </w:r>
                            <w:r>
                              <w:rPr>
                                <w:rFonts w:ascii="Calibri" w:eastAsia="Times New Roman" w:hAnsi="Calibri" w:cs="Calibri"/>
                                <w:color w:val="000000"/>
                              </w:rPr>
                              <w:t>]</w:t>
                            </w:r>
                            <w:r w:rsidR="006E098A" w:rsidRPr="009377B9">
                              <w:rPr>
                                <w:rFonts w:ascii="Calibri" w:eastAsia="Times New Roman" w:hAnsi="Calibri" w:cs="Calibri"/>
                                <w:color w:val="000000"/>
                              </w:rPr>
                              <w:t xml:space="preserve"> </w:t>
                            </w:r>
                          </w:p>
                        </w:tc>
                        <w:tc>
                          <w:tcPr>
                            <w:tcW w:w="2068" w:type="dxa"/>
                            <w:tcBorders>
                              <w:top w:val="nil"/>
                              <w:left w:val="nil"/>
                              <w:bottom w:val="single" w:sz="4" w:space="0" w:color="auto"/>
                              <w:right w:val="single" w:sz="4" w:space="0" w:color="auto"/>
                            </w:tcBorders>
                            <w:shd w:val="clear" w:color="auto" w:fill="auto"/>
                            <w:noWrap/>
                            <w:vAlign w:val="bottom"/>
                            <w:hideMark/>
                          </w:tcPr>
                          <w:p w14:paraId="3990FE2A" w14:textId="370E932C" w:rsidR="006E098A" w:rsidRPr="009377B9" w:rsidRDefault="008E09DD" w:rsidP="0024648B">
                            <w:pPr>
                              <w:jc w:val="center"/>
                              <w:rPr>
                                <w:rFonts w:ascii="Calibri" w:eastAsia="Times New Roman" w:hAnsi="Calibri" w:cs="Calibri"/>
                                <w:color w:val="000000"/>
                              </w:rPr>
                            </w:pPr>
                            <w:r>
                              <w:rPr>
                                <w:rFonts w:ascii="Calibri" w:eastAsia="Times New Roman" w:hAnsi="Calibri" w:cs="Calibri"/>
                                <w:color w:val="000000"/>
                                <w:highlight w:val="yellow"/>
                              </w:rPr>
                              <w:t>[</w:t>
                            </w:r>
                            <w:r w:rsidR="006E098A" w:rsidRPr="00862BFD">
                              <w:rPr>
                                <w:rFonts w:ascii="Calibri" w:eastAsia="Times New Roman" w:hAnsi="Calibri" w:cs="Calibri"/>
                                <w:color w:val="000000"/>
                                <w:highlight w:val="yellow"/>
                              </w:rPr>
                              <w:t>19%</w:t>
                            </w:r>
                            <w:r>
                              <w:rPr>
                                <w:rFonts w:ascii="Calibri" w:eastAsia="Times New Roman" w:hAnsi="Calibri" w:cs="Calibri"/>
                                <w:color w:val="000000"/>
                              </w:rPr>
                              <w:t>]</w:t>
                            </w:r>
                          </w:p>
                        </w:tc>
                      </w:tr>
                    </w:tbl>
                    <w:p w14:paraId="3D35EC57" w14:textId="77777777" w:rsidR="006E098A" w:rsidRDefault="006E098A" w:rsidP="006E098A"/>
                    <w:p w14:paraId="58B88EE2" w14:textId="77777777" w:rsidR="006E098A" w:rsidRPr="00446AAE" w:rsidRDefault="006E098A" w:rsidP="006E098A">
                      <w:pPr>
                        <w:shd w:val="clear" w:color="auto" w:fill="D9E2F3" w:themeFill="accent1" w:themeFillTint="33"/>
                        <w:rPr>
                          <w:b/>
                          <w:bCs/>
                          <w:sz w:val="32"/>
                          <w:szCs w:val="32"/>
                        </w:rPr>
                      </w:pPr>
                      <w:r w:rsidRPr="00446AAE">
                        <w:rPr>
                          <w:b/>
                          <w:bCs/>
                          <w:sz w:val="32"/>
                          <w:szCs w:val="32"/>
                        </w:rPr>
                        <w:t>Impact of Covid-19 and closures</w:t>
                      </w:r>
                    </w:p>
                    <w:p w14:paraId="3B4E66AB" w14:textId="77777777" w:rsidR="006E098A" w:rsidRDefault="006E098A" w:rsidP="006E098A"/>
                    <w:p w14:paraId="49C57D8B" w14:textId="7F4245A7" w:rsidR="006E098A" w:rsidRDefault="006E098A" w:rsidP="006E098A">
                      <w:r w:rsidRPr="009377B9">
                        <w:t xml:space="preserve">Even before the Covid-19 pandemic, childcare reform was urgently needed. In the period August 2020-March 2021, Ofsted data showed a net </w:t>
                      </w:r>
                      <w:r w:rsidR="002A2E6B" w:rsidRPr="002A2E6B">
                        <w:rPr>
                          <w:highlight w:val="yellow"/>
                        </w:rPr>
                        <w:t>[</w:t>
                      </w:r>
                      <w:r w:rsidRPr="002A2E6B">
                        <w:rPr>
                          <w:highlight w:val="yellow"/>
                        </w:rPr>
                        <w:t>loss of</w:t>
                      </w:r>
                      <w:r w:rsidRPr="009377B9">
                        <w:t xml:space="preserve"> </w:t>
                      </w:r>
                      <w:r w:rsidRPr="00862BFD">
                        <w:rPr>
                          <w:highlight w:val="yellow"/>
                        </w:rPr>
                        <w:t>4.4%</w:t>
                      </w:r>
                      <w:r w:rsidR="002A2E6B">
                        <w:rPr>
                          <w:highlight w:val="yellow"/>
                        </w:rPr>
                        <w:t>]</w:t>
                      </w:r>
                      <w:r w:rsidRPr="00862BFD">
                        <w:rPr>
                          <w:highlight w:val="yellow"/>
                        </w:rPr>
                        <w:t xml:space="preserve"> of childcare providers</w:t>
                      </w:r>
                      <w:r w:rsidRPr="009377B9">
                        <w:t xml:space="preserve"> and a net </w:t>
                      </w:r>
                      <w:r w:rsidR="002A2E6B" w:rsidRPr="002A2E6B">
                        <w:rPr>
                          <w:highlight w:val="yellow"/>
                        </w:rPr>
                        <w:t>[</w:t>
                      </w:r>
                      <w:r w:rsidRPr="002A2E6B">
                        <w:rPr>
                          <w:highlight w:val="yellow"/>
                        </w:rPr>
                        <w:t>loss of 1.1%</w:t>
                      </w:r>
                      <w:r w:rsidR="000C783F" w:rsidRPr="002A2E6B">
                        <w:rPr>
                          <w:highlight w:val="yellow"/>
                        </w:rPr>
                        <w:t>]</w:t>
                      </w:r>
                      <w:r w:rsidRPr="002A2E6B">
                        <w:rPr>
                          <w:highlight w:val="yellow"/>
                        </w:rPr>
                        <w:t xml:space="preserve"> </w:t>
                      </w:r>
                      <w:r w:rsidRPr="00862BFD">
                        <w:rPr>
                          <w:highlight w:val="yellow"/>
                        </w:rPr>
                        <w:t>of childcare places</w:t>
                      </w:r>
                      <w:r w:rsidRPr="009377B9">
                        <w:t xml:space="preserve"> in </w:t>
                      </w:r>
                      <w:r w:rsidR="000C783F">
                        <w:t>[</w:t>
                      </w:r>
                      <w:r w:rsidRPr="00862BFD">
                        <w:rPr>
                          <w:highlight w:val="yellow"/>
                        </w:rPr>
                        <w:t>England</w:t>
                      </w:r>
                      <w:r w:rsidR="000C783F">
                        <w:t>]</w:t>
                      </w:r>
                      <w:r w:rsidRPr="009377B9">
                        <w:t xml:space="preserve">. </w:t>
                      </w:r>
                      <w:r w:rsidR="002A2E6B">
                        <w:t>[</w:t>
                      </w:r>
                      <w:r w:rsidRPr="002A2E6B">
                        <w:rPr>
                          <w:highlight w:val="yellow"/>
                        </w:rPr>
                        <w:t>This decrease in places was largely driven by childminders leaving the market</w:t>
                      </w:r>
                      <w:r w:rsidRPr="009377B9">
                        <w:t>.</w:t>
                      </w:r>
                      <w:r w:rsidR="002A2E6B">
                        <w:t>]</w:t>
                      </w:r>
                      <w:r w:rsidRPr="009377B9">
                        <w:t xml:space="preserve"> </w:t>
                      </w:r>
                      <w:r>
                        <w:t xml:space="preserve">There were </w:t>
                      </w:r>
                      <w:r w:rsidR="000C783F">
                        <w:t>[</w:t>
                      </w:r>
                      <w:r w:rsidRPr="00862BFD">
                        <w:rPr>
                          <w:highlight w:val="yellow"/>
                        </w:rPr>
                        <w:t>64,173</w:t>
                      </w:r>
                      <w:r w:rsidR="000C783F">
                        <w:rPr>
                          <w:highlight w:val="yellow"/>
                        </w:rPr>
                        <w:t>]</w:t>
                      </w:r>
                      <w:r w:rsidRPr="00862BFD">
                        <w:rPr>
                          <w:highlight w:val="yellow"/>
                        </w:rPr>
                        <w:t xml:space="preserve"> </w:t>
                      </w:r>
                      <w:r w:rsidR="000C783F">
                        <w:rPr>
                          <w:highlight w:val="yellow"/>
                        </w:rPr>
                        <w:t>[</w:t>
                      </w:r>
                      <w:r w:rsidRPr="00862BFD">
                        <w:rPr>
                          <w:highlight w:val="yellow"/>
                        </w:rPr>
                        <w:t>fewer childcare places</w:t>
                      </w:r>
                      <w:r w:rsidR="000C783F">
                        <w:t>]</w:t>
                      </w:r>
                      <w:r w:rsidR="00862BFD">
                        <w:t>,</w:t>
                      </w:r>
                      <w:r w:rsidRPr="009377B9">
                        <w:t xml:space="preserve"> and </w:t>
                      </w:r>
                      <w:r w:rsidR="000C783F">
                        <w:t>[</w:t>
                      </w:r>
                      <w:r w:rsidRPr="00862BFD">
                        <w:rPr>
                          <w:highlight w:val="yellow"/>
                        </w:rPr>
                        <w:t>7,566</w:t>
                      </w:r>
                      <w:r w:rsidR="000C783F">
                        <w:rPr>
                          <w:highlight w:val="yellow"/>
                        </w:rPr>
                        <w:t>]</w:t>
                      </w:r>
                      <w:r w:rsidRPr="00862BFD">
                        <w:rPr>
                          <w:highlight w:val="yellow"/>
                        </w:rPr>
                        <w:t xml:space="preserve"> </w:t>
                      </w:r>
                      <w:r w:rsidR="000C783F">
                        <w:rPr>
                          <w:highlight w:val="yellow"/>
                        </w:rPr>
                        <w:t>[</w:t>
                      </w:r>
                      <w:r w:rsidRPr="00862BFD">
                        <w:rPr>
                          <w:highlight w:val="yellow"/>
                        </w:rPr>
                        <w:t>childcare providers</w:t>
                      </w:r>
                      <w:r w:rsidRPr="009377B9">
                        <w:t xml:space="preserve"> </w:t>
                      </w:r>
                      <w:r w:rsidRPr="000C783F">
                        <w:rPr>
                          <w:highlight w:val="yellow"/>
                        </w:rPr>
                        <w:t>left</w:t>
                      </w:r>
                      <w:r w:rsidR="000C783F">
                        <w:t>]</w:t>
                      </w:r>
                      <w:r w:rsidRPr="009377B9">
                        <w:t xml:space="preserve"> the sector in March 2021 compared to August 2020.</w:t>
                      </w:r>
                      <w:r>
                        <w:t xml:space="preserve"> </w:t>
                      </w:r>
                    </w:p>
                  </w:txbxContent>
                </v:textbox>
              </v:shape>
            </w:pict>
          </mc:Fallback>
        </mc:AlternateContent>
      </w:r>
    </w:p>
    <w:p w14:paraId="58B2E79B" w14:textId="77777777" w:rsidR="006E098A" w:rsidRDefault="006E098A" w:rsidP="006E098A"/>
    <w:p w14:paraId="626C04B1" w14:textId="77777777" w:rsidR="006E098A" w:rsidRDefault="006E098A" w:rsidP="006E098A"/>
    <w:p w14:paraId="64FCDCE8" w14:textId="77777777" w:rsidR="006E098A" w:rsidRDefault="006E098A" w:rsidP="006E098A"/>
    <w:p w14:paraId="53B38B9E" w14:textId="77777777" w:rsidR="006E098A" w:rsidRDefault="006E098A" w:rsidP="006E098A"/>
    <w:p w14:paraId="2A001659" w14:textId="77777777" w:rsidR="006E098A" w:rsidRDefault="006E098A" w:rsidP="006E098A"/>
    <w:p w14:paraId="60662806" w14:textId="77777777" w:rsidR="006E098A" w:rsidRDefault="006E098A" w:rsidP="006E098A"/>
    <w:p w14:paraId="4A1A6A43" w14:textId="77777777" w:rsidR="006E098A" w:rsidRDefault="006E098A" w:rsidP="006E098A"/>
    <w:p w14:paraId="726B5E62" w14:textId="77777777" w:rsidR="006E098A" w:rsidRDefault="006E098A" w:rsidP="006E098A"/>
    <w:p w14:paraId="1C10D1D6" w14:textId="77777777" w:rsidR="006E098A" w:rsidRDefault="006E098A" w:rsidP="006E098A"/>
    <w:p w14:paraId="4C4EB883" w14:textId="77777777" w:rsidR="006E098A" w:rsidRDefault="006E098A" w:rsidP="006E098A"/>
    <w:p w14:paraId="03095528" w14:textId="77777777" w:rsidR="006E098A" w:rsidRDefault="006E098A" w:rsidP="006E098A"/>
    <w:p w14:paraId="181491A9" w14:textId="77777777" w:rsidR="006E098A" w:rsidRDefault="006E098A" w:rsidP="006E098A"/>
    <w:p w14:paraId="6824C7BA" w14:textId="77777777" w:rsidR="006E098A" w:rsidRDefault="006E098A" w:rsidP="006E098A"/>
    <w:p w14:paraId="660F186A" w14:textId="77777777" w:rsidR="006E098A" w:rsidRDefault="006E098A" w:rsidP="006E098A"/>
    <w:p w14:paraId="6C287F49" w14:textId="77777777" w:rsidR="006E098A" w:rsidRDefault="006E098A" w:rsidP="006E098A"/>
    <w:p w14:paraId="68A7F91F" w14:textId="77777777" w:rsidR="006E098A" w:rsidRDefault="006E098A" w:rsidP="006E098A"/>
    <w:p w14:paraId="0F0CFFCB" w14:textId="77777777" w:rsidR="006E098A" w:rsidRDefault="006E098A" w:rsidP="006E098A"/>
    <w:p w14:paraId="00BDC6F2" w14:textId="77777777" w:rsidR="006E098A" w:rsidRDefault="006E098A" w:rsidP="006E098A"/>
    <w:p w14:paraId="0B85EE3C" w14:textId="77777777" w:rsidR="006E098A" w:rsidRDefault="006E098A" w:rsidP="006E098A"/>
    <w:p w14:paraId="2C112FBE" w14:textId="77777777" w:rsidR="006E098A" w:rsidRDefault="006E098A" w:rsidP="006E098A"/>
    <w:p w14:paraId="2A6156FE" w14:textId="77777777" w:rsidR="006E098A" w:rsidRDefault="006E098A" w:rsidP="006E098A"/>
    <w:p w14:paraId="73530AA0" w14:textId="77777777" w:rsidR="006E098A" w:rsidRDefault="006E098A" w:rsidP="006E098A"/>
    <w:p w14:paraId="53CB9519" w14:textId="77777777" w:rsidR="006E098A" w:rsidRDefault="006E098A" w:rsidP="006E098A"/>
    <w:p w14:paraId="4423B0C8" w14:textId="77777777" w:rsidR="006E098A" w:rsidRDefault="006E098A" w:rsidP="006E098A"/>
    <w:p w14:paraId="2841B430" w14:textId="77777777" w:rsidR="006E098A" w:rsidRDefault="006E098A" w:rsidP="006E098A"/>
    <w:p w14:paraId="7BAA4C82" w14:textId="77777777" w:rsidR="006E098A" w:rsidRDefault="006E098A" w:rsidP="006E098A"/>
    <w:p w14:paraId="4F460479" w14:textId="77777777" w:rsidR="006E098A" w:rsidRDefault="006E098A" w:rsidP="006E098A"/>
    <w:p w14:paraId="4C266980" w14:textId="77777777" w:rsidR="006E098A" w:rsidRDefault="006E098A" w:rsidP="006E098A"/>
    <w:p w14:paraId="78AA41A4" w14:textId="77777777" w:rsidR="006E098A" w:rsidRDefault="006E098A" w:rsidP="006E098A"/>
    <w:p w14:paraId="36A5313B" w14:textId="77777777" w:rsidR="006E098A" w:rsidRDefault="006E098A" w:rsidP="006E098A"/>
    <w:p w14:paraId="7A5E79A0" w14:textId="77777777" w:rsidR="006E098A" w:rsidRDefault="006E098A" w:rsidP="006E098A"/>
    <w:p w14:paraId="156CDD1F" w14:textId="77777777" w:rsidR="006E098A" w:rsidRDefault="006E098A" w:rsidP="006E098A"/>
    <w:p w14:paraId="0C6BBA9E" w14:textId="77777777" w:rsidR="006E098A" w:rsidRDefault="006E098A" w:rsidP="006E098A"/>
    <w:p w14:paraId="1BE2F666" w14:textId="77777777" w:rsidR="006E098A" w:rsidRDefault="006E098A" w:rsidP="006E098A"/>
    <w:p w14:paraId="6D1366F7" w14:textId="77777777" w:rsidR="006E098A" w:rsidRDefault="006E098A" w:rsidP="006E098A"/>
    <w:p w14:paraId="1C620F9D" w14:textId="77777777" w:rsidR="006E098A" w:rsidRDefault="006E098A" w:rsidP="006E098A"/>
    <w:p w14:paraId="78FDB381" w14:textId="77777777" w:rsidR="006E098A" w:rsidRDefault="006E098A" w:rsidP="006E098A"/>
    <w:p w14:paraId="37DC41EB" w14:textId="77777777" w:rsidR="006E098A" w:rsidRDefault="006E098A" w:rsidP="006E098A"/>
    <w:p w14:paraId="17D99723" w14:textId="77777777" w:rsidR="006E098A" w:rsidRDefault="006E098A" w:rsidP="006E098A"/>
    <w:p w14:paraId="1187C720" w14:textId="77777777" w:rsidR="006E098A" w:rsidRDefault="006E098A" w:rsidP="006E098A"/>
    <w:p w14:paraId="20EECCF3" w14:textId="77777777" w:rsidR="006E098A" w:rsidRDefault="006E098A" w:rsidP="006E098A"/>
    <w:p w14:paraId="04395435" w14:textId="77777777" w:rsidR="006E098A" w:rsidRDefault="006E098A" w:rsidP="006E098A"/>
    <w:p w14:paraId="26602523" w14:textId="77777777" w:rsidR="006E098A" w:rsidRDefault="006E098A" w:rsidP="006E098A">
      <w:pPr>
        <w:rPr>
          <w:b/>
          <w:bCs/>
          <w:u w:val="single"/>
        </w:rPr>
      </w:pPr>
    </w:p>
    <w:p w14:paraId="0E22318B" w14:textId="43B63B68" w:rsidR="00E730D6" w:rsidRDefault="00752074"/>
    <w:p w14:paraId="4111E92F" w14:textId="672B9932" w:rsidR="006E098A" w:rsidRDefault="006E098A"/>
    <w:p w14:paraId="5387F94B" w14:textId="77777777" w:rsidR="006E098A" w:rsidRPr="00FD75DB" w:rsidRDefault="006E098A" w:rsidP="006E098A">
      <w:pPr>
        <w:rPr>
          <w:b/>
          <w:bCs/>
        </w:rPr>
      </w:pPr>
      <w:r w:rsidRPr="00FD75DB">
        <w:rPr>
          <w:b/>
          <w:bCs/>
          <w:highlight w:val="yellow"/>
        </w:rPr>
        <w:t xml:space="preserve">[Contact details </w:t>
      </w:r>
      <w:r>
        <w:rPr>
          <w:b/>
          <w:bCs/>
          <w:highlight w:val="yellow"/>
        </w:rPr>
        <w:t>of</w:t>
      </w:r>
      <w:r w:rsidRPr="00FD75DB">
        <w:rPr>
          <w:b/>
          <w:bCs/>
          <w:highlight w:val="yellow"/>
        </w:rPr>
        <w:t xml:space="preserve"> your organisation]</w:t>
      </w:r>
    </w:p>
    <w:p w14:paraId="2273A689" w14:textId="77777777" w:rsidR="006E098A" w:rsidRDefault="006E098A" w:rsidP="006E098A"/>
    <w:p w14:paraId="49C8AC03" w14:textId="77777777" w:rsidR="006E098A" w:rsidRPr="00FD75DB" w:rsidRDefault="006E098A" w:rsidP="006E098A">
      <w:pPr>
        <w:jc w:val="center"/>
        <w:rPr>
          <w:sz w:val="20"/>
          <w:szCs w:val="20"/>
        </w:rPr>
      </w:pPr>
      <w:r w:rsidRPr="00FD75DB">
        <w:rPr>
          <w:noProof/>
          <w:sz w:val="20"/>
          <w:szCs w:val="20"/>
        </w:rPr>
        <w:drawing>
          <wp:inline distT="0" distB="0" distL="0" distR="0" wp14:anchorId="523CBF9B" wp14:editId="7F8F7FE9">
            <wp:extent cx="1905000" cy="571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14:paraId="76ED32EB" w14:textId="77777777" w:rsidR="006E098A" w:rsidRDefault="006E098A" w:rsidP="006E098A">
      <w:pPr>
        <w:rPr>
          <w:sz w:val="20"/>
          <w:szCs w:val="20"/>
        </w:rPr>
      </w:pPr>
    </w:p>
    <w:p w14:paraId="0EA10D4D" w14:textId="04C76A1F" w:rsidR="006E098A" w:rsidRPr="006E098A" w:rsidRDefault="006E098A">
      <w:pPr>
        <w:rPr>
          <w:sz w:val="20"/>
          <w:szCs w:val="20"/>
        </w:rPr>
      </w:pPr>
      <w:r w:rsidRPr="00FD75DB">
        <w:rPr>
          <w:sz w:val="20"/>
          <w:szCs w:val="20"/>
        </w:rPr>
        <w:t xml:space="preserve">This analysis was carried out with the support from the </w:t>
      </w:r>
      <w:hyperlink r:id="rId7" w:history="1">
        <w:r w:rsidRPr="00FD75DB">
          <w:rPr>
            <w:rStyle w:val="Hyperlink"/>
            <w:sz w:val="20"/>
            <w:szCs w:val="20"/>
          </w:rPr>
          <w:t>Local Data Project led by Women’s Budget Group</w:t>
        </w:r>
      </w:hyperlink>
      <w:r w:rsidRPr="00FD75DB">
        <w:rPr>
          <w:sz w:val="20"/>
          <w:szCs w:val="20"/>
        </w:rPr>
        <w:t xml:space="preserve">. The Local Data Project provides organisations with training to analyse local data. Women’s Budget Group does not accept any responsibility or liability for the accuracy, content, completeness, legality or reliability of this data and information. Furthermore, use of our logo is not an endorsement of the content published. </w:t>
      </w:r>
    </w:p>
    <w:sectPr w:rsidR="006E098A" w:rsidRPr="006E098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13FEA" w14:textId="77777777" w:rsidR="00752074" w:rsidRDefault="00752074" w:rsidP="006E098A">
      <w:r>
        <w:separator/>
      </w:r>
    </w:p>
  </w:endnote>
  <w:endnote w:type="continuationSeparator" w:id="0">
    <w:p w14:paraId="3A5CCD6F" w14:textId="77777777" w:rsidR="00752074" w:rsidRDefault="00752074" w:rsidP="006E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EEA" w14:textId="2CE89A91" w:rsidR="006E098A" w:rsidRPr="006E098A" w:rsidRDefault="006E098A" w:rsidP="006E098A">
    <w:pPr>
      <w:pStyle w:val="Footer"/>
      <w:rPr>
        <w:sz w:val="18"/>
        <w:szCs w:val="18"/>
      </w:rPr>
    </w:pPr>
    <w:r w:rsidRPr="006E098A">
      <w:rPr>
        <w:sz w:val="18"/>
        <w:szCs w:val="18"/>
      </w:rPr>
      <w:t>Data sources:</w:t>
    </w:r>
  </w:p>
  <w:p w14:paraId="2936A8DA" w14:textId="2D2244A5" w:rsidR="006E098A" w:rsidRDefault="006E098A">
    <w:pPr>
      <w:pStyle w:val="Footer"/>
      <w:rPr>
        <w:sz w:val="18"/>
        <w:szCs w:val="18"/>
      </w:rPr>
    </w:pPr>
    <w:r w:rsidRPr="004378FA">
      <w:rPr>
        <w:sz w:val="18"/>
        <w:szCs w:val="18"/>
      </w:rPr>
      <w:t>Coram Family and Childcare Trust Survey 2021 (</w:t>
    </w:r>
    <w:hyperlink r:id="rId1" w:history="1">
      <w:r w:rsidRPr="001B1F94">
        <w:rPr>
          <w:rStyle w:val="Hyperlink"/>
          <w:sz w:val="18"/>
          <w:szCs w:val="18"/>
        </w:rPr>
        <w:t>https://bit.ly/2Ue4Tv1</w:t>
      </w:r>
    </w:hyperlink>
    <w:r w:rsidRPr="004378FA">
      <w:rPr>
        <w:sz w:val="18"/>
        <w:szCs w:val="18"/>
      </w:rPr>
      <w:t>)</w:t>
    </w:r>
  </w:p>
  <w:p w14:paraId="1AC2AB51" w14:textId="47949E73" w:rsidR="006E098A" w:rsidRDefault="006E098A">
    <w:pPr>
      <w:pStyle w:val="Footer"/>
      <w:rPr>
        <w:sz w:val="18"/>
        <w:szCs w:val="18"/>
      </w:rPr>
    </w:pPr>
    <w:r>
      <w:rPr>
        <w:sz w:val="18"/>
        <w:szCs w:val="18"/>
      </w:rPr>
      <w:t>ONS Annual Survey of Hours and Earnings Table 7 (</w:t>
    </w:r>
    <w:hyperlink r:id="rId2" w:history="1">
      <w:r w:rsidRPr="003A2507">
        <w:rPr>
          <w:rStyle w:val="Hyperlink"/>
          <w:sz w:val="18"/>
          <w:szCs w:val="18"/>
        </w:rPr>
        <w:t>https://bit.ly/3hn8PBz</w:t>
      </w:r>
    </w:hyperlink>
    <w:r>
      <w:rPr>
        <w:sz w:val="18"/>
        <w:szCs w:val="18"/>
      </w:rPr>
      <w:t>)</w:t>
    </w:r>
  </w:p>
  <w:p w14:paraId="62AFFBE9" w14:textId="2F8D30EA" w:rsidR="006E098A" w:rsidRDefault="006E098A">
    <w:pPr>
      <w:pStyle w:val="Footer"/>
    </w:pPr>
    <w:r w:rsidRPr="004378FA">
      <w:rPr>
        <w:sz w:val="18"/>
        <w:szCs w:val="18"/>
      </w:rPr>
      <w:t xml:space="preserve">Ofsted Childcare providers and inspections Official Statistics Table 3: </w:t>
    </w:r>
    <w:r>
      <w:rPr>
        <w:sz w:val="18"/>
        <w:szCs w:val="18"/>
      </w:rPr>
      <w:t>(</w:t>
    </w:r>
    <w:hyperlink r:id="rId3" w:history="1">
      <w:r w:rsidRPr="009F2A9B">
        <w:rPr>
          <w:rStyle w:val="Hyperlink"/>
          <w:sz w:val="18"/>
          <w:szCs w:val="18"/>
        </w:rPr>
        <w:t>https://bit.ly/363S7SI</w:t>
      </w:r>
    </w:hyperlink>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9C79" w14:textId="77777777" w:rsidR="00752074" w:rsidRDefault="00752074" w:rsidP="006E098A">
      <w:r>
        <w:separator/>
      </w:r>
    </w:p>
  </w:footnote>
  <w:footnote w:type="continuationSeparator" w:id="0">
    <w:p w14:paraId="6B59E65F" w14:textId="77777777" w:rsidR="00752074" w:rsidRDefault="00752074" w:rsidP="006E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942A" w14:textId="77777777" w:rsidR="006E098A" w:rsidRPr="00FD75DB" w:rsidRDefault="006E098A" w:rsidP="006E098A">
    <w:pPr>
      <w:pStyle w:val="Header"/>
      <w:rPr>
        <w:b/>
        <w:bCs/>
      </w:rPr>
    </w:pPr>
    <w:r>
      <w:rPr>
        <w:b/>
        <w:bCs/>
        <w:highlight w:val="yellow"/>
      </w:rPr>
      <w:t>[</w:t>
    </w:r>
    <w:r w:rsidRPr="00FD75DB">
      <w:rPr>
        <w:b/>
        <w:bCs/>
        <w:highlight w:val="yellow"/>
      </w:rPr>
      <w:t>Your logo here]</w:t>
    </w:r>
  </w:p>
  <w:p w14:paraId="43376FCA" w14:textId="77777777" w:rsidR="006E098A" w:rsidRDefault="006E0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8A"/>
    <w:rsid w:val="000C783F"/>
    <w:rsid w:val="002A2E6B"/>
    <w:rsid w:val="006E098A"/>
    <w:rsid w:val="00752074"/>
    <w:rsid w:val="00862BFD"/>
    <w:rsid w:val="008E09DD"/>
    <w:rsid w:val="008F3776"/>
    <w:rsid w:val="00990B5F"/>
    <w:rsid w:val="00A1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F9FFA"/>
  <w15:chartTrackingRefBased/>
  <w15:docId w15:val="{8F71BCA8-D1C2-4707-ABBC-03D1BF33C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8A"/>
    <w:pPr>
      <w:spacing w:after="0" w:line="240" w:lineRule="auto"/>
    </w:pPr>
    <w:rPr>
      <w:rFonts w:eastAsiaTheme="minorEastAsia"/>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98A"/>
    <w:rPr>
      <w:color w:val="0563C1" w:themeColor="hyperlink"/>
      <w:u w:val="single"/>
    </w:rPr>
  </w:style>
  <w:style w:type="paragraph" w:styleId="Header">
    <w:name w:val="header"/>
    <w:basedOn w:val="Normal"/>
    <w:link w:val="HeaderChar"/>
    <w:uiPriority w:val="99"/>
    <w:unhideWhenUsed/>
    <w:rsid w:val="006E098A"/>
    <w:pPr>
      <w:tabs>
        <w:tab w:val="center" w:pos="4513"/>
        <w:tab w:val="right" w:pos="9026"/>
      </w:tabs>
    </w:pPr>
  </w:style>
  <w:style w:type="character" w:customStyle="1" w:styleId="HeaderChar">
    <w:name w:val="Header Char"/>
    <w:basedOn w:val="DefaultParagraphFont"/>
    <w:link w:val="Header"/>
    <w:uiPriority w:val="99"/>
    <w:rsid w:val="006E098A"/>
    <w:rPr>
      <w:rFonts w:eastAsiaTheme="minorEastAsia"/>
      <w:sz w:val="24"/>
      <w:szCs w:val="24"/>
      <w:lang w:eastAsia="zh-CN"/>
    </w:rPr>
  </w:style>
  <w:style w:type="paragraph" w:styleId="Footer">
    <w:name w:val="footer"/>
    <w:basedOn w:val="Normal"/>
    <w:link w:val="FooterChar"/>
    <w:uiPriority w:val="99"/>
    <w:unhideWhenUsed/>
    <w:rsid w:val="006E098A"/>
    <w:pPr>
      <w:tabs>
        <w:tab w:val="center" w:pos="4513"/>
        <w:tab w:val="right" w:pos="9026"/>
      </w:tabs>
    </w:pPr>
  </w:style>
  <w:style w:type="character" w:customStyle="1" w:styleId="FooterChar">
    <w:name w:val="Footer Char"/>
    <w:basedOn w:val="DefaultParagraphFont"/>
    <w:link w:val="Footer"/>
    <w:uiPriority w:val="99"/>
    <w:rsid w:val="006E098A"/>
    <w:rPr>
      <w:rFonts w:eastAsiaTheme="minorEastAsia"/>
      <w:sz w:val="24"/>
      <w:szCs w:val="24"/>
      <w:lang w:eastAsia="zh-CN"/>
    </w:rPr>
  </w:style>
  <w:style w:type="character" w:styleId="UnresolvedMention">
    <w:name w:val="Unresolved Mention"/>
    <w:basedOn w:val="DefaultParagraphFont"/>
    <w:uiPriority w:val="99"/>
    <w:semiHidden/>
    <w:unhideWhenUsed/>
    <w:rsid w:val="006E0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bg.org.uk/ld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bit.ly/363S7SI" TargetMode="External"/><Relationship Id="rId2" Type="http://schemas.openxmlformats.org/officeDocument/2006/relationships/hyperlink" Target="https://bit.ly/3hn8PBz" TargetMode="External"/><Relationship Id="rId1" Type="http://schemas.openxmlformats.org/officeDocument/2006/relationships/hyperlink" Target="https://bit.ly/2Ue4T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Bell</dc:creator>
  <cp:keywords/>
  <dc:description/>
  <cp:lastModifiedBy>Sara Reis</cp:lastModifiedBy>
  <cp:revision>4</cp:revision>
  <dcterms:created xsi:type="dcterms:W3CDTF">2021-06-30T15:47:00Z</dcterms:created>
  <dcterms:modified xsi:type="dcterms:W3CDTF">2021-06-30T16:20:00Z</dcterms:modified>
</cp:coreProperties>
</file>